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D9095" w14:textId="2AD8E19F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43B54ACD" w14:textId="45E3A057" w:rsidR="004A0645" w:rsidRDefault="00AE40B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4A0645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4A0645">
        <w:rPr>
          <w:rFonts w:ascii="Arial" w:hAnsi="Arial" w:cs="Arial"/>
          <w:b/>
          <w:color w:val="auto"/>
          <w:sz w:val="24"/>
          <w:szCs w:val="24"/>
        </w:rPr>
        <w:t xml:space="preserve">sowego projektu informatycznego </w:t>
      </w:r>
    </w:p>
    <w:p w14:paraId="65A4C933" w14:textId="44DE7A0B" w:rsidR="008A332F" w:rsidRPr="004A0645" w:rsidRDefault="004A064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4A0645">
        <w:rPr>
          <w:rFonts w:ascii="Arial" w:hAnsi="Arial" w:cs="Arial"/>
          <w:b/>
          <w:color w:val="auto"/>
          <w:sz w:val="20"/>
          <w:szCs w:val="20"/>
        </w:rPr>
        <w:t xml:space="preserve">ProfiBaza - Cyfrowe udostępnienie informacji publicznej na temat sytuacji zdrowotnej ludności oraz realizacji programów zdrowotnych dla potrzeb profilaktyki chorób i promocji zdrowia </w:t>
      </w:r>
      <w:r w:rsidR="009D7C9D">
        <w:rPr>
          <w:rFonts w:ascii="Arial" w:hAnsi="Arial" w:cs="Arial"/>
          <w:b/>
          <w:color w:val="auto"/>
          <w:sz w:val="20"/>
          <w:szCs w:val="20"/>
        </w:rPr>
        <w:br/>
      </w:r>
      <w:r w:rsidRPr="004A0645">
        <w:rPr>
          <w:rFonts w:ascii="Arial" w:hAnsi="Arial" w:cs="Arial"/>
          <w:b/>
          <w:color w:val="auto"/>
          <w:sz w:val="20"/>
          <w:szCs w:val="20"/>
        </w:rPr>
        <w:t>w Polsce.</w:t>
      </w:r>
      <w:r w:rsidR="0042271A" w:rsidRPr="0042271A">
        <w:t xml:space="preserve"> </w:t>
      </w:r>
      <w:r w:rsidR="0042271A" w:rsidRPr="0042271A">
        <w:rPr>
          <w:rFonts w:ascii="Arial" w:hAnsi="Arial" w:cs="Arial"/>
          <w:b/>
          <w:color w:val="auto"/>
          <w:sz w:val="20"/>
          <w:szCs w:val="20"/>
        </w:rPr>
        <w:t>nr POPC.02.03.01-00-0015/17-00</w:t>
      </w:r>
    </w:p>
    <w:p w14:paraId="3C8F6B73" w14:textId="3FA21E14" w:rsidR="008C6721" w:rsidRPr="002B50C0" w:rsidRDefault="0003305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560733">
        <w:rPr>
          <w:rFonts w:ascii="Arial" w:hAnsi="Arial" w:cs="Arial"/>
          <w:b/>
          <w:color w:val="auto"/>
          <w:sz w:val="24"/>
          <w:szCs w:val="24"/>
        </w:rPr>
        <w:t xml:space="preserve"> kwartał 2018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ADBE93A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E2382A" w:rsidR="00CA516B" w:rsidRPr="008341BE" w:rsidRDefault="008341BE" w:rsidP="008341BE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ProfiBaza - Cyfrowe udostępnienie informacji publicznej na temat sytuacji zdrowotnej ludności oraz realizacji programów zdrowotnych dla potrzeb profilaktyki chorób i promocji zdrowia w Polsce</w:t>
            </w:r>
            <w:r w:rsidR="00454CF6">
              <w:rPr>
                <w:rFonts w:ascii="NimbusSanL-Regu" w:hAnsi="NimbusSanL-Regu" w:cs="NimbusSanL-Regu"/>
                <w:sz w:val="15"/>
                <w:szCs w:val="15"/>
              </w:rPr>
              <w:t>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C8B53F1" w:rsidR="00CA516B" w:rsidRPr="00141A92" w:rsidRDefault="00F95272" w:rsidP="00454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4CF6">
              <w:rPr>
                <w:rFonts w:ascii="NimbusSanL-Regu" w:hAnsi="NimbusSanL-Regu" w:cs="NimbusSanL-Regu"/>
                <w:sz w:val="15"/>
                <w:szCs w:val="15"/>
              </w:rPr>
              <w:t>Narodowy Instytut Zdrowia Publicznego – Państwowy Zakład Higieny.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BFEC13" w:rsidR="00CA516B" w:rsidRPr="006822BC" w:rsidRDefault="00454CF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4CF6">
              <w:rPr>
                <w:rFonts w:ascii="NimbusSanL-Regu" w:hAnsi="NimbusSanL-Regu" w:cs="NimbusSanL-Regu"/>
                <w:sz w:val="15"/>
                <w:szCs w:val="15"/>
              </w:rPr>
              <w:t>Narodowy Instytut Zdrowia Publicznego – Państwowy Zakład Higieny.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454CF6" w:rsidRDefault="008A332F" w:rsidP="00454CF6">
            <w:pPr>
              <w:spacing w:line="276" w:lineRule="auto"/>
              <w:rPr>
                <w:rFonts w:ascii="NimbusSanL-Regu" w:hAnsi="NimbusSanL-Regu" w:cs="NimbusSanL-Regu"/>
                <w:sz w:val="15"/>
                <w:szCs w:val="15"/>
              </w:rPr>
            </w:pPr>
            <w:r w:rsidRPr="00454CF6">
              <w:rPr>
                <w:rFonts w:ascii="NimbusSanL-Regu" w:hAnsi="NimbusSanL-Regu" w:cs="NimbusSanL-Regu"/>
                <w:sz w:val="15"/>
                <w:szCs w:val="15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F78449" w:rsidR="00CA516B" w:rsidRPr="00454CF6" w:rsidRDefault="00454CF6" w:rsidP="00454CF6">
            <w:pPr>
              <w:spacing w:line="276" w:lineRule="auto"/>
              <w:rPr>
                <w:rFonts w:ascii="NimbusSanL-Regu" w:hAnsi="NimbusSanL-Regu" w:cs="NimbusSanL-Regu"/>
                <w:sz w:val="15"/>
                <w:szCs w:val="15"/>
              </w:rPr>
            </w:pPr>
            <w:r w:rsidRPr="00454CF6">
              <w:rPr>
                <w:rFonts w:ascii="NimbusSanL-Regu" w:hAnsi="NimbusSanL-Regu" w:cs="NimbusSanL-Regu"/>
                <w:sz w:val="15"/>
                <w:szCs w:val="15"/>
              </w:rPr>
              <w:t>Brak.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A07D67" w14:textId="77777777" w:rsidR="00535AF3" w:rsidRPr="005E19B2" w:rsidRDefault="00535AF3" w:rsidP="005E19B2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rFonts w:ascii="NimbusSanL-Regu" w:hAnsi="NimbusSanL-Regu" w:cs="NimbusSanL-Regu"/>
                <w:sz w:val="15"/>
                <w:szCs w:val="15"/>
              </w:rPr>
            </w:pPr>
            <w:r w:rsidRPr="005E19B2">
              <w:rPr>
                <w:rFonts w:ascii="NimbusSanL-Regu" w:hAnsi="NimbusSanL-Regu" w:cs="NimbusSanL-Regu"/>
                <w:sz w:val="15"/>
                <w:szCs w:val="15"/>
              </w:rPr>
              <w:t>Program Operacyjny Polska Cyfrowa</w:t>
            </w:r>
          </w:p>
          <w:p w14:paraId="60F78E84" w14:textId="2AA7FC27" w:rsidR="00535AF3" w:rsidRPr="005E19B2" w:rsidRDefault="00535AF3" w:rsidP="005E19B2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rFonts w:ascii="NimbusSanL-Regu" w:hAnsi="NimbusSanL-Regu" w:cs="NimbusSanL-Regu"/>
                <w:sz w:val="15"/>
                <w:szCs w:val="15"/>
              </w:rPr>
            </w:pPr>
            <w:r w:rsidRPr="005E19B2">
              <w:rPr>
                <w:rFonts w:ascii="NimbusSanL-Regu" w:hAnsi="NimbusSanL-Regu" w:cs="NimbusSanL-Regu"/>
                <w:sz w:val="15"/>
                <w:szCs w:val="15"/>
              </w:rPr>
              <w:t>Oś Priorytetowa II E-administracja i otwarty rząd</w:t>
            </w:r>
          </w:p>
          <w:p w14:paraId="142348D7" w14:textId="0B1EC787" w:rsidR="00535AF3" w:rsidRPr="005E19B2" w:rsidRDefault="00535AF3" w:rsidP="005E19B2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rFonts w:ascii="NimbusSanL-Regu" w:hAnsi="NimbusSanL-Regu" w:cs="NimbusSanL-Regu"/>
                <w:sz w:val="15"/>
                <w:szCs w:val="15"/>
              </w:rPr>
            </w:pPr>
            <w:r w:rsidRPr="005E19B2">
              <w:rPr>
                <w:rFonts w:ascii="NimbusSanL-Regu" w:hAnsi="NimbusSanL-Regu" w:cs="NimbusSanL-Regu"/>
                <w:sz w:val="15"/>
                <w:szCs w:val="15"/>
              </w:rPr>
              <w:t>Działanie 2.3 Cyfrowa dostępność i użyteczność informacji sektora publicznego</w:t>
            </w:r>
          </w:p>
          <w:p w14:paraId="0A2218E0" w14:textId="77777777" w:rsidR="00F95272" w:rsidRDefault="00535AF3" w:rsidP="005E19B2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rFonts w:ascii="NimbusSanL-Regu" w:hAnsi="NimbusSanL-Regu" w:cs="NimbusSanL-Regu"/>
                <w:sz w:val="15"/>
                <w:szCs w:val="15"/>
              </w:rPr>
            </w:pPr>
            <w:r w:rsidRPr="005E19B2">
              <w:rPr>
                <w:rFonts w:ascii="NimbusSanL-Regu" w:hAnsi="NimbusSanL-Regu" w:cs="NimbusSanL-Regu"/>
                <w:sz w:val="15"/>
                <w:szCs w:val="15"/>
              </w:rPr>
              <w:t xml:space="preserve">Poddziałanie 2.3.1 Cyfrowe udostępnienie informacji sektora publicznego ze źródeł administracyjnych i zasobów nauki </w:t>
            </w:r>
          </w:p>
          <w:p w14:paraId="55582688" w14:textId="44107B4E" w:rsidR="00BD2FC3" w:rsidRPr="00F95272" w:rsidRDefault="00F95272" w:rsidP="005E19B2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rFonts w:ascii="NimbusSanL-Regu" w:hAnsi="NimbusSanL-Regu" w:cs="NimbusSanL-Regu"/>
                <w:sz w:val="15"/>
                <w:szCs w:val="15"/>
              </w:rPr>
            </w:pPr>
            <w:r w:rsidRPr="0058609D">
              <w:rPr>
                <w:rFonts w:ascii="NimbusSanL-Regu" w:hAnsi="NimbusSanL-Regu" w:cs="NimbusSanL-Regu"/>
                <w:sz w:val="15"/>
                <w:szCs w:val="15"/>
              </w:rPr>
              <w:t>Budżet</w:t>
            </w:r>
            <w:r w:rsidR="00BD2FC3" w:rsidRPr="0058609D">
              <w:rPr>
                <w:rFonts w:ascii="NimbusSanL-Regu" w:hAnsi="NimbusSanL-Regu" w:cs="NimbusSanL-Regu"/>
                <w:sz w:val="15"/>
                <w:szCs w:val="15"/>
              </w:rPr>
              <w:t xml:space="preserve"> państwa. ( Część 46 - </w:t>
            </w:r>
            <w:r w:rsidRPr="0058609D">
              <w:rPr>
                <w:rFonts w:ascii="NimbusSanL-Regu" w:hAnsi="NimbusSanL-Regu" w:cs="NimbusSanL-Regu"/>
                <w:sz w:val="15"/>
                <w:szCs w:val="15"/>
              </w:rPr>
              <w:t>Zdrowie)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15EB90E9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682463D" w:rsidR="00CA516B" w:rsidRPr="00141A92" w:rsidRDefault="007D3C4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D3C4B">
              <w:rPr>
                <w:rFonts w:ascii="NimbusSanL-Regu" w:hAnsi="NimbusSanL-Regu" w:cs="NimbusSanL-Regu"/>
                <w:sz w:val="15"/>
                <w:szCs w:val="15"/>
              </w:rPr>
              <w:t>28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  <w:r w:rsidRPr="007D3C4B">
              <w:rPr>
                <w:rFonts w:ascii="NimbusSanL-Regu" w:hAnsi="NimbusSanL-Regu" w:cs="NimbusSanL-Regu"/>
                <w:sz w:val="15"/>
                <w:szCs w:val="15"/>
              </w:rPr>
              <w:t>411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  <w:r w:rsidRPr="007D3C4B">
              <w:rPr>
                <w:rFonts w:ascii="NimbusSanL-Regu" w:hAnsi="NimbusSanL-Regu" w:cs="NimbusSanL-Regu"/>
                <w:sz w:val="15"/>
                <w:szCs w:val="15"/>
              </w:rPr>
              <w:t>595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>,00 zł</w:t>
            </w:r>
            <w:bookmarkStart w:id="0" w:name="_GoBack"/>
            <w:bookmarkEnd w:id="0"/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DFBC1B8" w:rsidR="00CA516B" w:rsidRPr="004017C0" w:rsidRDefault="004017C0" w:rsidP="004017C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017C0">
              <w:rPr>
                <w:rFonts w:ascii="NimbusSanL-Regu" w:hAnsi="NimbusSanL-Regu" w:cs="NimbusSanL-Regu"/>
                <w:sz w:val="15"/>
                <w:szCs w:val="15"/>
              </w:rPr>
              <w:t>01.03.2018r. – 28.02.2021r.</w:t>
            </w:r>
          </w:p>
        </w:tc>
      </w:tr>
    </w:tbl>
    <w:p w14:paraId="30071234" w14:textId="093AAAC9" w:rsidR="00CA516B" w:rsidRPr="00141A92" w:rsidRDefault="004C1D48" w:rsidP="008255BE">
      <w:pPr>
        <w:pStyle w:val="Nagwek2"/>
        <w:numPr>
          <w:ilvl w:val="0"/>
          <w:numId w:val="19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F4EE61D" w:rsidR="004C1D48" w:rsidRDefault="00AA4E32" w:rsidP="00AA4E32">
      <w:pPr>
        <w:spacing w:after="0" w:line="240" w:lineRule="auto"/>
        <w:jc w:val="both"/>
        <w:rPr>
          <w:rFonts w:ascii="NimbusSanL-Regu" w:hAnsi="NimbusSanL-Regu" w:cs="NimbusSanL-Regu"/>
          <w:sz w:val="15"/>
          <w:szCs w:val="15"/>
        </w:rPr>
      </w:pPr>
      <w:r w:rsidRPr="00AA4E32">
        <w:rPr>
          <w:rFonts w:ascii="NimbusSanL-Regu" w:hAnsi="NimbusSanL-Regu" w:cs="NimbusSanL-Regu"/>
          <w:sz w:val="15"/>
          <w:szCs w:val="15"/>
        </w:rPr>
        <w:t>Projekt w żadnym zakresie nie wymaga dostosowania lub zmiany przepisów prawa, istniejące ramy prawne gwarantują wykonalność organizacyjno – techniczną Projektu jak i późniejszą eksploatację.</w:t>
      </w:r>
    </w:p>
    <w:p w14:paraId="40DEDC3F" w14:textId="77777777" w:rsidR="00AA4E32" w:rsidRPr="00AA4E32" w:rsidRDefault="00AA4E32" w:rsidP="00AA4E32">
      <w:pPr>
        <w:spacing w:after="0" w:line="240" w:lineRule="auto"/>
        <w:jc w:val="both"/>
        <w:rPr>
          <w:rFonts w:ascii="NimbusSanL-Regu" w:hAnsi="NimbusSanL-Regu" w:cs="NimbusSanL-Regu"/>
          <w:sz w:val="15"/>
          <w:szCs w:val="15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4C1DC4">
        <w:trPr>
          <w:trHeight w:val="532"/>
        </w:trPr>
        <w:tc>
          <w:tcPr>
            <w:tcW w:w="2972" w:type="dxa"/>
          </w:tcPr>
          <w:p w14:paraId="1DE62E5A" w14:textId="77777777" w:rsidR="00A82558" w:rsidRDefault="00A82558" w:rsidP="00A82558">
            <w:pPr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077C8D26" w14:textId="534A825A" w:rsidR="00907F6D" w:rsidRPr="00141A92" w:rsidRDefault="000245F8" w:rsidP="004261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28</w:t>
            </w:r>
            <w:r w:rsidR="009D63BA"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  <w:r w:rsidR="00426156" w:rsidRPr="00426156">
              <w:rPr>
                <w:rFonts w:ascii="NimbusSanL-Regu" w:hAnsi="NimbusSanL-Regu" w:cs="NimbusSanL-Regu"/>
                <w:sz w:val="15"/>
                <w:szCs w:val="15"/>
              </w:rPr>
              <w:t>%</w:t>
            </w:r>
          </w:p>
        </w:tc>
        <w:tc>
          <w:tcPr>
            <w:tcW w:w="3260" w:type="dxa"/>
          </w:tcPr>
          <w:p w14:paraId="233DE75B" w14:textId="77777777" w:rsidR="00A82558" w:rsidRDefault="00A82558" w:rsidP="00A82558">
            <w:pPr>
              <w:jc w:val="center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4929DAC9" w14:textId="0A2AEEE6" w:rsidR="00907F6D" w:rsidRPr="00A82558" w:rsidRDefault="000245F8" w:rsidP="00A82558">
            <w:pPr>
              <w:jc w:val="center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11</w:t>
            </w:r>
            <w:r w:rsidR="009D63BA"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  <w:r w:rsidR="00A82558" w:rsidRPr="00A82558">
              <w:rPr>
                <w:rFonts w:ascii="NimbusSanL-Regu" w:hAnsi="NimbusSanL-Regu" w:cs="NimbusSanL-Regu"/>
                <w:sz w:val="15"/>
                <w:szCs w:val="15"/>
              </w:rPr>
              <w:t>%</w:t>
            </w:r>
          </w:p>
        </w:tc>
        <w:tc>
          <w:tcPr>
            <w:tcW w:w="3402" w:type="dxa"/>
          </w:tcPr>
          <w:p w14:paraId="4C3D4A37" w14:textId="77777777" w:rsidR="004C1DC4" w:rsidRDefault="004C1DC4" w:rsidP="004C1DC4">
            <w:pPr>
              <w:jc w:val="center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65BB31D3" w14:textId="4D9EC892" w:rsidR="002F385B" w:rsidRPr="00B9513A" w:rsidRDefault="00AD08DC" w:rsidP="00B9513A">
            <w:pPr>
              <w:jc w:val="center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39 </w:t>
            </w:r>
            <w:r w:rsidR="004C1DC4" w:rsidRPr="004C1DC4">
              <w:rPr>
                <w:rFonts w:ascii="NimbusSanL-Regu" w:hAnsi="NimbusSanL-Regu" w:cs="NimbusSanL-Regu"/>
                <w:sz w:val="15"/>
                <w:szCs w:val="15"/>
              </w:rPr>
              <w:t>%</w:t>
            </w:r>
          </w:p>
        </w:tc>
      </w:tr>
    </w:tbl>
    <w:p w14:paraId="043DFF36" w14:textId="77777777" w:rsidR="00243FAD" w:rsidRPr="00243FAD" w:rsidRDefault="00243FAD" w:rsidP="00243FAD"/>
    <w:p w14:paraId="5C14A7BE" w14:textId="472F2E0F" w:rsidR="008410CB" w:rsidRPr="008410CB" w:rsidRDefault="005C0469" w:rsidP="008410CB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4FA5A893" w14:textId="77777777" w:rsidR="00C67FCE" w:rsidRPr="00141A92" w:rsidRDefault="00C67FC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611"/>
        <w:gridCol w:w="1592"/>
        <w:gridCol w:w="2802"/>
      </w:tblGrid>
      <w:tr w:rsidR="00DC7550" w:rsidRPr="002B50C0" w14:paraId="55961592" w14:textId="77777777" w:rsidTr="0046528C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073B8EFF" w14:textId="05A7EBF2" w:rsidR="00DC7550" w:rsidRPr="00141A92" w:rsidRDefault="00DC7550" w:rsidP="00DC755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</w:rPr>
              <w:t>K</w:t>
            </w:r>
            <w:r w:rsidRPr="00483C1E">
              <w:rPr>
                <w:b/>
              </w:rPr>
              <w:t>amień milowy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DC7550" w:rsidRPr="00141A92" w:rsidRDefault="00DC7550" w:rsidP="00DC75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11" w:type="dxa"/>
            <w:shd w:val="clear" w:color="auto" w:fill="D0CECE" w:themeFill="background2" w:themeFillShade="E6"/>
          </w:tcPr>
          <w:p w14:paraId="19CAB3EF" w14:textId="77777777" w:rsidR="00DC7550" w:rsidRPr="00141A92" w:rsidRDefault="00DC7550" w:rsidP="00DC75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92" w:type="dxa"/>
            <w:shd w:val="clear" w:color="auto" w:fill="D0CECE" w:themeFill="background2" w:themeFillShade="E6"/>
          </w:tcPr>
          <w:p w14:paraId="10659A37" w14:textId="77777777" w:rsidR="00DC7550" w:rsidRPr="00141A92" w:rsidRDefault="00DC7550" w:rsidP="00DC75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DC7550" w:rsidRPr="00141A92" w:rsidRDefault="00DC7550" w:rsidP="00DC75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DC7550" w:rsidRPr="002B50C0" w14:paraId="6DDF21F6" w14:textId="77777777" w:rsidTr="0046528C">
        <w:tc>
          <w:tcPr>
            <w:tcW w:w="2127" w:type="dxa"/>
          </w:tcPr>
          <w:p w14:paraId="155E50A9" w14:textId="45209DEC" w:rsidR="00DC7550" w:rsidRPr="000B4185" w:rsidRDefault="00DC7550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Opracowany standard gromadzenia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4BE5D" w14:textId="56590432" w:rsidR="00DC7550" w:rsidRPr="00F010AC" w:rsidRDefault="00F010AC" w:rsidP="00DC7550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F010AC">
              <w:rPr>
                <w:rFonts w:ascii="NimbusSanL-Regu" w:hAnsi="NimbusSanL-Regu" w:cs="NimbusSanL-Regu"/>
                <w:sz w:val="15"/>
                <w:szCs w:val="15"/>
              </w:rPr>
              <w:t>Nie dotyczy</w:t>
            </w:r>
          </w:p>
        </w:tc>
        <w:tc>
          <w:tcPr>
            <w:tcW w:w="1611" w:type="dxa"/>
          </w:tcPr>
          <w:p w14:paraId="14B7BB06" w14:textId="0E875B96" w:rsidR="00DC7550" w:rsidRPr="000B4185" w:rsidRDefault="00BF4D4E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11-</w:t>
            </w:r>
            <w:r w:rsidR="009575F2">
              <w:rPr>
                <w:rFonts w:ascii="NimbusSanL-Regu" w:hAnsi="NimbusSanL-Regu" w:cs="NimbusSanL-Regu"/>
                <w:sz w:val="15"/>
                <w:szCs w:val="15"/>
              </w:rPr>
              <w:t>2018</w:t>
            </w:r>
          </w:p>
        </w:tc>
        <w:tc>
          <w:tcPr>
            <w:tcW w:w="1592" w:type="dxa"/>
          </w:tcPr>
          <w:p w14:paraId="678E825C" w14:textId="01B170D7" w:rsidR="00DC7550" w:rsidRPr="000B4185" w:rsidRDefault="00BF4D4E" w:rsidP="00E778B7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11-</w:t>
            </w:r>
            <w:r w:rsidR="009575F2">
              <w:rPr>
                <w:rFonts w:ascii="NimbusSanL-Regu" w:hAnsi="NimbusSanL-Regu" w:cs="NimbusSanL-Regu"/>
                <w:sz w:val="15"/>
                <w:szCs w:val="15"/>
              </w:rPr>
              <w:t>2018</w:t>
            </w:r>
          </w:p>
        </w:tc>
        <w:tc>
          <w:tcPr>
            <w:tcW w:w="2802" w:type="dxa"/>
          </w:tcPr>
          <w:p w14:paraId="1AE03963" w14:textId="626A94BE" w:rsidR="000B4185" w:rsidRPr="000B4185" w:rsidRDefault="007834B5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Osiągnięty</w:t>
            </w:r>
            <w:r w:rsidR="000245F8">
              <w:rPr>
                <w:rFonts w:ascii="NimbusSanL-Regu" w:hAnsi="NimbusSanL-Regu" w:cs="NimbusSanL-Regu"/>
                <w:sz w:val="15"/>
                <w:szCs w:val="15"/>
              </w:rPr>
              <w:t>.</w:t>
            </w:r>
          </w:p>
          <w:p w14:paraId="612BF191" w14:textId="5A341396" w:rsidR="00DC7550" w:rsidRPr="000B4185" w:rsidRDefault="00DC7550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</w:tc>
      </w:tr>
      <w:tr w:rsidR="00DC7550" w:rsidRPr="002B50C0" w14:paraId="1E71AA16" w14:textId="77777777" w:rsidTr="0046528C">
        <w:tc>
          <w:tcPr>
            <w:tcW w:w="2127" w:type="dxa"/>
          </w:tcPr>
          <w:p w14:paraId="7806D5E1" w14:textId="77777777" w:rsidR="008410CB" w:rsidRDefault="008410CB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3AFE0228" w14:textId="0996CB83" w:rsidR="00DC7550" w:rsidRPr="000B4185" w:rsidRDefault="00DC7550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Nazwa kamienia milowego: Dane cyfrowe zintegrowane i ustandaryzowane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9CB4" w14:textId="77777777" w:rsidR="008410CB" w:rsidRDefault="008410CB" w:rsidP="00DC7550">
            <w:pPr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15D010D9" w14:textId="7D76F901" w:rsidR="00DC7550" w:rsidRPr="00F010AC" w:rsidRDefault="00F010AC" w:rsidP="00DC7550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F010AC">
              <w:rPr>
                <w:rFonts w:ascii="NimbusSanL-Regu" w:hAnsi="NimbusSanL-Regu" w:cs="NimbusSanL-Regu"/>
                <w:sz w:val="15"/>
                <w:szCs w:val="15"/>
              </w:rPr>
              <w:t xml:space="preserve">2 - </w:t>
            </w:r>
            <w:r w:rsidR="004129ED">
              <w:rPr>
                <w:rFonts w:ascii="NimbusSanL-Regu" w:hAnsi="NimbusSanL-Regu" w:cs="NimbusSanL-Regu"/>
                <w:sz w:val="15"/>
                <w:szCs w:val="15"/>
              </w:rPr>
              <w:t>1</w:t>
            </w:r>
            <w:r w:rsidR="001F1B6E">
              <w:rPr>
                <w:rFonts w:ascii="NimbusSanL-Regu" w:hAnsi="NimbusSanL-Regu" w:cs="NimbusSanL-Regu"/>
                <w:sz w:val="15"/>
                <w:szCs w:val="15"/>
              </w:rPr>
              <w:t xml:space="preserve"> szt.</w:t>
            </w:r>
          </w:p>
        </w:tc>
        <w:tc>
          <w:tcPr>
            <w:tcW w:w="1611" w:type="dxa"/>
          </w:tcPr>
          <w:p w14:paraId="03122E27" w14:textId="77777777" w:rsidR="008410CB" w:rsidRDefault="008410CB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6A230143" w14:textId="6CBBCF87" w:rsidR="00DC7550" w:rsidRPr="000B4185" w:rsidRDefault="00BF4D4E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11-</w:t>
            </w:r>
            <w:r w:rsidR="009575F2">
              <w:rPr>
                <w:rFonts w:ascii="NimbusSanL-Regu" w:hAnsi="NimbusSanL-Regu" w:cs="NimbusSanL-Regu"/>
                <w:sz w:val="15"/>
                <w:szCs w:val="15"/>
              </w:rPr>
              <w:t>2020</w:t>
            </w:r>
          </w:p>
        </w:tc>
        <w:tc>
          <w:tcPr>
            <w:tcW w:w="1592" w:type="dxa"/>
          </w:tcPr>
          <w:p w14:paraId="4CC4796A" w14:textId="47DF11CF" w:rsidR="000B4185" w:rsidRPr="000B4185" w:rsidRDefault="000B4185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.</w:t>
            </w: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  <w:p w14:paraId="5BF45C87" w14:textId="77777777" w:rsidR="00DC7550" w:rsidRPr="000B4185" w:rsidRDefault="00DC7550" w:rsidP="000B4185">
            <w:pPr>
              <w:pStyle w:val="Akapitzlist"/>
              <w:ind w:left="7"/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</w:tc>
        <w:tc>
          <w:tcPr>
            <w:tcW w:w="2802" w:type="dxa"/>
          </w:tcPr>
          <w:p w14:paraId="2C4A0AEA" w14:textId="77777777" w:rsidR="008410CB" w:rsidRDefault="008410CB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338EA3F6" w14:textId="77777777" w:rsidR="000B4185" w:rsidRPr="000B4185" w:rsidRDefault="000B4185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- w trakcie realizacji</w:t>
            </w:r>
          </w:p>
          <w:p w14:paraId="488E842E" w14:textId="77777777" w:rsidR="00DC7550" w:rsidRPr="000B4185" w:rsidRDefault="00DC7550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</w:tc>
      </w:tr>
      <w:tr w:rsidR="00DC7550" w:rsidRPr="002B50C0" w14:paraId="6539FC51" w14:textId="77777777" w:rsidTr="0046528C">
        <w:tc>
          <w:tcPr>
            <w:tcW w:w="2127" w:type="dxa"/>
          </w:tcPr>
          <w:p w14:paraId="6DD76F50" w14:textId="595BA616" w:rsidR="00DC7550" w:rsidRPr="000B4185" w:rsidRDefault="00DC7550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 xml:space="preserve">Opracowany ostateczny </w:t>
            </w:r>
            <w:r w:rsidRPr="000B4185">
              <w:rPr>
                <w:rFonts w:ascii="NimbusSanL-Regu" w:hAnsi="NimbusSanL-Regu" w:cs="NimbusSanL-Regu"/>
                <w:sz w:val="15"/>
                <w:szCs w:val="15"/>
              </w:rPr>
              <w:lastRenderedPageBreak/>
              <w:t>model wizualizacji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3D447" w14:textId="1B867697" w:rsidR="00DC7550" w:rsidRPr="00F010AC" w:rsidRDefault="00F010AC" w:rsidP="00DC7550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F010AC">
              <w:rPr>
                <w:rFonts w:ascii="NimbusSanL-Regu" w:hAnsi="NimbusSanL-Regu" w:cs="NimbusSanL-Regu"/>
                <w:sz w:val="15"/>
                <w:szCs w:val="15"/>
              </w:rPr>
              <w:lastRenderedPageBreak/>
              <w:t xml:space="preserve">2 - </w:t>
            </w:r>
            <w:r w:rsidR="00151739">
              <w:rPr>
                <w:rFonts w:ascii="NimbusSanL-Regu" w:hAnsi="NimbusSanL-Regu" w:cs="NimbusSanL-Regu"/>
                <w:sz w:val="15"/>
                <w:szCs w:val="15"/>
              </w:rPr>
              <w:t>1</w:t>
            </w:r>
            <w:r w:rsidR="001F1B6E">
              <w:rPr>
                <w:rFonts w:ascii="NimbusSanL-Regu" w:hAnsi="NimbusSanL-Regu" w:cs="NimbusSanL-Regu"/>
                <w:sz w:val="15"/>
                <w:szCs w:val="15"/>
              </w:rPr>
              <w:t xml:space="preserve"> szt.</w:t>
            </w:r>
          </w:p>
        </w:tc>
        <w:tc>
          <w:tcPr>
            <w:tcW w:w="1611" w:type="dxa"/>
          </w:tcPr>
          <w:p w14:paraId="5C53909E" w14:textId="46FD2AA2" w:rsidR="00DC7550" w:rsidRPr="000B4185" w:rsidRDefault="00BF4D4E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01-</w:t>
            </w:r>
            <w:r w:rsidR="009575F2">
              <w:rPr>
                <w:rFonts w:ascii="NimbusSanL-Regu" w:hAnsi="NimbusSanL-Regu" w:cs="NimbusSanL-Regu"/>
                <w:sz w:val="15"/>
                <w:szCs w:val="15"/>
              </w:rPr>
              <w:t>2021</w:t>
            </w:r>
          </w:p>
        </w:tc>
        <w:tc>
          <w:tcPr>
            <w:tcW w:w="1592" w:type="dxa"/>
          </w:tcPr>
          <w:p w14:paraId="0CDFDBA9" w14:textId="77777777" w:rsidR="00DC7550" w:rsidRPr="000B4185" w:rsidRDefault="00DC7550" w:rsidP="00E778B7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</w:tc>
        <w:tc>
          <w:tcPr>
            <w:tcW w:w="2802" w:type="dxa"/>
          </w:tcPr>
          <w:p w14:paraId="5523F4EC" w14:textId="77777777" w:rsidR="000B4185" w:rsidRPr="000B4185" w:rsidRDefault="000B4185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- w trakcie realizacji</w:t>
            </w:r>
          </w:p>
          <w:p w14:paraId="02FAA935" w14:textId="77777777" w:rsidR="00DC7550" w:rsidRPr="000B4185" w:rsidRDefault="00DC7550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</w:tc>
      </w:tr>
      <w:tr w:rsidR="00DC7550" w:rsidRPr="002B50C0" w14:paraId="195B33D5" w14:textId="77777777" w:rsidTr="0046528C">
        <w:tc>
          <w:tcPr>
            <w:tcW w:w="2127" w:type="dxa"/>
          </w:tcPr>
          <w:p w14:paraId="57D61088" w14:textId="48C79C83" w:rsidR="00DC7550" w:rsidRPr="000B4185" w:rsidRDefault="00DC7550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lastRenderedPageBreak/>
              <w:t>Ogłoszenie o zamówieniu (budowa oprogramowania)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38420" w14:textId="674413D4" w:rsidR="00DC7550" w:rsidRPr="00F010AC" w:rsidRDefault="00F010AC" w:rsidP="00DC7550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F010AC">
              <w:rPr>
                <w:rFonts w:ascii="NimbusSanL-Regu" w:hAnsi="NimbusSanL-Regu" w:cs="NimbusSanL-Regu"/>
                <w:sz w:val="15"/>
                <w:szCs w:val="15"/>
              </w:rPr>
              <w:t>Nie dotyczy</w:t>
            </w:r>
          </w:p>
        </w:tc>
        <w:tc>
          <w:tcPr>
            <w:tcW w:w="1611" w:type="dxa"/>
          </w:tcPr>
          <w:p w14:paraId="5140B75C" w14:textId="236031FB" w:rsidR="00DC7550" w:rsidRPr="000B4185" w:rsidRDefault="00BF4D4E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05-</w:t>
            </w:r>
            <w:r w:rsidR="009575F2">
              <w:rPr>
                <w:rFonts w:ascii="NimbusSanL-Regu" w:hAnsi="NimbusSanL-Regu" w:cs="NimbusSanL-Regu"/>
                <w:sz w:val="15"/>
                <w:szCs w:val="15"/>
              </w:rPr>
              <w:t>2019</w:t>
            </w:r>
          </w:p>
        </w:tc>
        <w:tc>
          <w:tcPr>
            <w:tcW w:w="1592" w:type="dxa"/>
          </w:tcPr>
          <w:p w14:paraId="3AC7284D" w14:textId="77777777" w:rsidR="00DC7550" w:rsidRPr="000B4185" w:rsidRDefault="00DC7550" w:rsidP="00E778B7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</w:tc>
        <w:tc>
          <w:tcPr>
            <w:tcW w:w="2802" w:type="dxa"/>
          </w:tcPr>
          <w:p w14:paraId="0561F0B0" w14:textId="72D6AC91" w:rsidR="00DC7550" w:rsidRPr="000B4185" w:rsidRDefault="000B4185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- planowany</w:t>
            </w:r>
          </w:p>
        </w:tc>
      </w:tr>
      <w:tr w:rsidR="00DC7550" w:rsidRPr="002B50C0" w14:paraId="7D9CA1FD" w14:textId="77777777" w:rsidTr="0046528C">
        <w:tc>
          <w:tcPr>
            <w:tcW w:w="2127" w:type="dxa"/>
          </w:tcPr>
          <w:p w14:paraId="5EFD3457" w14:textId="07DA7DAF" w:rsidR="00DC7550" w:rsidRPr="000B4185" w:rsidRDefault="00DC7550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Udostępnienie wersji pilotażowej</w:t>
            </w: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ab/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D80F2" w14:textId="4E9C46C5" w:rsidR="00DC7550" w:rsidRPr="00F010AC" w:rsidRDefault="00F010AC" w:rsidP="00DC7550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F010AC">
              <w:rPr>
                <w:rFonts w:ascii="NimbusSanL-Regu" w:hAnsi="NimbusSanL-Regu" w:cs="NimbusSanL-Regu"/>
                <w:sz w:val="15"/>
                <w:szCs w:val="15"/>
              </w:rPr>
              <w:t>Nie dotyczy</w:t>
            </w:r>
          </w:p>
        </w:tc>
        <w:tc>
          <w:tcPr>
            <w:tcW w:w="1611" w:type="dxa"/>
          </w:tcPr>
          <w:p w14:paraId="5E387DD5" w14:textId="55E629B3" w:rsidR="00DC7550" w:rsidRPr="000B4185" w:rsidRDefault="00BF4D4E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06-</w:t>
            </w:r>
            <w:r w:rsidR="009575F2">
              <w:rPr>
                <w:rFonts w:ascii="NimbusSanL-Regu" w:hAnsi="NimbusSanL-Regu" w:cs="NimbusSanL-Regu"/>
                <w:sz w:val="15"/>
                <w:szCs w:val="15"/>
              </w:rPr>
              <w:t>2020</w:t>
            </w:r>
          </w:p>
        </w:tc>
        <w:tc>
          <w:tcPr>
            <w:tcW w:w="1592" w:type="dxa"/>
          </w:tcPr>
          <w:p w14:paraId="38403DE1" w14:textId="77777777" w:rsidR="00DC7550" w:rsidRPr="000B4185" w:rsidRDefault="00DC7550" w:rsidP="00E778B7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</w:tc>
        <w:tc>
          <w:tcPr>
            <w:tcW w:w="2802" w:type="dxa"/>
          </w:tcPr>
          <w:p w14:paraId="1392B0FD" w14:textId="19251098" w:rsidR="00DC7550" w:rsidRPr="000B4185" w:rsidRDefault="000B4185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- planowany</w:t>
            </w:r>
          </w:p>
        </w:tc>
      </w:tr>
      <w:tr w:rsidR="00DC7550" w:rsidRPr="002B50C0" w14:paraId="2F55D0F3" w14:textId="77777777" w:rsidTr="0046528C">
        <w:tc>
          <w:tcPr>
            <w:tcW w:w="2127" w:type="dxa"/>
          </w:tcPr>
          <w:p w14:paraId="1F1CEC85" w14:textId="79DD0352" w:rsidR="00DC7550" w:rsidRPr="000B4185" w:rsidRDefault="00DC7550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Udostępnienie narzędzia do gromadzenia danych bieżących  (danych gromadzonych po zakończeniu projektu)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310E1" w14:textId="5D54CFD9" w:rsidR="00DC7550" w:rsidRPr="00F010AC" w:rsidRDefault="00F010AC" w:rsidP="00DC7550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F010AC">
              <w:rPr>
                <w:rFonts w:ascii="NimbusSanL-Regu" w:hAnsi="NimbusSanL-Regu" w:cs="NimbusSanL-Regu"/>
                <w:sz w:val="15"/>
                <w:szCs w:val="15"/>
              </w:rPr>
              <w:t>3-1 szt.</w:t>
            </w:r>
          </w:p>
        </w:tc>
        <w:tc>
          <w:tcPr>
            <w:tcW w:w="1611" w:type="dxa"/>
          </w:tcPr>
          <w:p w14:paraId="752B4EFE" w14:textId="40F49EE9" w:rsidR="00DC7550" w:rsidRPr="000B4185" w:rsidRDefault="00BF4D4E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11-</w:t>
            </w:r>
            <w:r w:rsidR="009575F2">
              <w:rPr>
                <w:rFonts w:ascii="NimbusSanL-Regu" w:hAnsi="NimbusSanL-Regu" w:cs="NimbusSanL-Regu"/>
                <w:sz w:val="15"/>
                <w:szCs w:val="15"/>
              </w:rPr>
              <w:t>2020</w:t>
            </w:r>
          </w:p>
        </w:tc>
        <w:tc>
          <w:tcPr>
            <w:tcW w:w="1592" w:type="dxa"/>
          </w:tcPr>
          <w:p w14:paraId="19825C83" w14:textId="77777777" w:rsidR="00DC7550" w:rsidRPr="000B4185" w:rsidRDefault="00DC7550" w:rsidP="00E778B7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</w:tc>
        <w:tc>
          <w:tcPr>
            <w:tcW w:w="2802" w:type="dxa"/>
          </w:tcPr>
          <w:p w14:paraId="3923D958" w14:textId="05F11A95" w:rsidR="00DC7550" w:rsidRPr="000B4185" w:rsidRDefault="000B4185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- planowany</w:t>
            </w:r>
          </w:p>
        </w:tc>
      </w:tr>
      <w:tr w:rsidR="00DC7550" w:rsidRPr="002B50C0" w14:paraId="6F1F63A7" w14:textId="77777777" w:rsidTr="0046528C">
        <w:tc>
          <w:tcPr>
            <w:tcW w:w="2127" w:type="dxa"/>
          </w:tcPr>
          <w:p w14:paraId="19833340" w14:textId="279553F2" w:rsidR="00DC7550" w:rsidRPr="000B4185" w:rsidRDefault="00DC7550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Opracowanie i udostępnienie narzędzia do przetwarzania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7E8F6" w14:textId="6FAEBC83" w:rsidR="00DC7550" w:rsidRPr="00F010AC" w:rsidRDefault="00F010AC" w:rsidP="00DC7550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F010AC">
              <w:rPr>
                <w:rFonts w:ascii="NimbusSanL-Regu" w:hAnsi="NimbusSanL-Regu" w:cs="NimbusSanL-Regu"/>
                <w:sz w:val="15"/>
                <w:szCs w:val="15"/>
              </w:rPr>
              <w:t>3-1szt.</w:t>
            </w:r>
          </w:p>
        </w:tc>
        <w:tc>
          <w:tcPr>
            <w:tcW w:w="1611" w:type="dxa"/>
          </w:tcPr>
          <w:p w14:paraId="7400F4DD" w14:textId="1C9C33F8" w:rsidR="00DC7550" w:rsidRPr="000B4185" w:rsidRDefault="00BF4D4E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11-</w:t>
            </w:r>
            <w:r w:rsidR="009575F2">
              <w:rPr>
                <w:rFonts w:ascii="NimbusSanL-Regu" w:hAnsi="NimbusSanL-Regu" w:cs="NimbusSanL-Regu"/>
                <w:sz w:val="15"/>
                <w:szCs w:val="15"/>
              </w:rPr>
              <w:t>2020</w:t>
            </w:r>
          </w:p>
        </w:tc>
        <w:tc>
          <w:tcPr>
            <w:tcW w:w="1592" w:type="dxa"/>
          </w:tcPr>
          <w:p w14:paraId="63BEB7C5" w14:textId="77777777" w:rsidR="00DC7550" w:rsidRPr="000B4185" w:rsidRDefault="00DC7550" w:rsidP="00E778B7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</w:tc>
        <w:tc>
          <w:tcPr>
            <w:tcW w:w="2802" w:type="dxa"/>
          </w:tcPr>
          <w:p w14:paraId="269CF994" w14:textId="4537F328" w:rsidR="00DC7550" w:rsidRPr="000B4185" w:rsidRDefault="000B4185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- planowany</w:t>
            </w:r>
          </w:p>
        </w:tc>
      </w:tr>
      <w:tr w:rsidR="00DC7550" w:rsidRPr="002B50C0" w14:paraId="128689C4" w14:textId="77777777" w:rsidTr="0046528C">
        <w:tc>
          <w:tcPr>
            <w:tcW w:w="2127" w:type="dxa"/>
          </w:tcPr>
          <w:p w14:paraId="5D9B1558" w14:textId="0625DC06" w:rsidR="00DC7550" w:rsidRPr="000B4185" w:rsidRDefault="00DC7550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zrealizowana konferencja na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BC28" w14:textId="54165A2E" w:rsidR="00DC7550" w:rsidRPr="00F010AC" w:rsidRDefault="00F010AC" w:rsidP="00DC7550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F010AC">
              <w:rPr>
                <w:rFonts w:ascii="NimbusSanL-Regu" w:hAnsi="NimbusSanL-Regu" w:cs="NimbusSanL-Regu"/>
                <w:sz w:val="15"/>
                <w:szCs w:val="15"/>
              </w:rPr>
              <w:t>Nie dotyczy.</w:t>
            </w:r>
          </w:p>
        </w:tc>
        <w:tc>
          <w:tcPr>
            <w:tcW w:w="1611" w:type="dxa"/>
          </w:tcPr>
          <w:p w14:paraId="1F745021" w14:textId="46CFAB7E" w:rsidR="00DC7550" w:rsidRPr="000B4185" w:rsidRDefault="00BF4D4E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01-</w:t>
            </w:r>
            <w:r w:rsidR="009575F2">
              <w:rPr>
                <w:rFonts w:ascii="NimbusSanL-Regu" w:hAnsi="NimbusSanL-Regu" w:cs="NimbusSanL-Regu"/>
                <w:sz w:val="15"/>
                <w:szCs w:val="15"/>
              </w:rPr>
              <w:t>2021</w:t>
            </w:r>
          </w:p>
        </w:tc>
        <w:tc>
          <w:tcPr>
            <w:tcW w:w="1592" w:type="dxa"/>
          </w:tcPr>
          <w:p w14:paraId="4C32D6BB" w14:textId="77777777" w:rsidR="00DC7550" w:rsidRPr="000B4185" w:rsidRDefault="00DC7550" w:rsidP="00E778B7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</w:tc>
        <w:tc>
          <w:tcPr>
            <w:tcW w:w="2802" w:type="dxa"/>
          </w:tcPr>
          <w:p w14:paraId="5564AE7B" w14:textId="19B26A4B" w:rsidR="00DC7550" w:rsidRPr="000B4185" w:rsidRDefault="000B4185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- planowany</w:t>
            </w:r>
          </w:p>
        </w:tc>
      </w:tr>
      <w:tr w:rsidR="00DC7550" w:rsidRPr="002B50C0" w14:paraId="7ACBC61D" w14:textId="77777777" w:rsidTr="0046528C">
        <w:tc>
          <w:tcPr>
            <w:tcW w:w="2127" w:type="dxa"/>
          </w:tcPr>
          <w:p w14:paraId="0C660C60" w14:textId="6BCCAFDC" w:rsidR="00DC7550" w:rsidRPr="000B4185" w:rsidRDefault="00DC7550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Zakończony audyt i wprowadzone zalecenia po</w:t>
            </w:r>
            <w:r w:rsidR="00EA5E3D"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audytowe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C88B9" w14:textId="416F87FD" w:rsidR="00DC7550" w:rsidRPr="00F010AC" w:rsidRDefault="00F010AC" w:rsidP="00DC7550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F010AC">
              <w:rPr>
                <w:rFonts w:ascii="NimbusSanL-Regu" w:hAnsi="NimbusSanL-Regu" w:cs="NimbusSanL-Regu"/>
                <w:sz w:val="15"/>
                <w:szCs w:val="15"/>
              </w:rPr>
              <w:t>Nie dotyczy.</w:t>
            </w:r>
          </w:p>
        </w:tc>
        <w:tc>
          <w:tcPr>
            <w:tcW w:w="1611" w:type="dxa"/>
          </w:tcPr>
          <w:p w14:paraId="0765D450" w14:textId="7029AC9F" w:rsidR="00DC7550" w:rsidRPr="000B4185" w:rsidRDefault="00BF4D4E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10-</w:t>
            </w:r>
            <w:r w:rsidR="009575F2">
              <w:rPr>
                <w:rFonts w:ascii="NimbusSanL-Regu" w:hAnsi="NimbusSanL-Regu" w:cs="NimbusSanL-Regu"/>
                <w:sz w:val="15"/>
                <w:szCs w:val="15"/>
              </w:rPr>
              <w:t>2019</w:t>
            </w:r>
          </w:p>
        </w:tc>
        <w:tc>
          <w:tcPr>
            <w:tcW w:w="1592" w:type="dxa"/>
          </w:tcPr>
          <w:p w14:paraId="688EAFE4" w14:textId="77777777" w:rsidR="00DC7550" w:rsidRPr="000B4185" w:rsidRDefault="00DC7550" w:rsidP="00E778B7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</w:tc>
        <w:tc>
          <w:tcPr>
            <w:tcW w:w="2802" w:type="dxa"/>
          </w:tcPr>
          <w:p w14:paraId="44FEB753" w14:textId="7B304C79" w:rsidR="00DC7550" w:rsidRPr="000B4185" w:rsidRDefault="000B4185" w:rsidP="000B4185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0B4185">
              <w:rPr>
                <w:rFonts w:ascii="NimbusSanL-Regu" w:hAnsi="NimbusSanL-Regu" w:cs="NimbusSanL-Regu"/>
                <w:sz w:val="15"/>
                <w:szCs w:val="15"/>
              </w:rPr>
              <w:t>- planowany</w:t>
            </w:r>
          </w:p>
        </w:tc>
      </w:tr>
    </w:tbl>
    <w:p w14:paraId="555355A9" w14:textId="77777777" w:rsidR="00D25237" w:rsidRDefault="00D2523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DCC2E6C" w14:textId="77777777" w:rsidR="00D25237" w:rsidRDefault="00D2523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D1DBD1F" w14:textId="77777777" w:rsidR="00D25237" w:rsidRDefault="00D2523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7E1020" w:rsidRDefault="00586664" w:rsidP="007E1020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5"/>
                <w:szCs w:val="15"/>
              </w:rPr>
            </w:pPr>
            <w:r w:rsidRPr="007E1020">
              <w:rPr>
                <w:rFonts w:ascii="NimbusSanL-Regu" w:hAnsi="NimbusSanL-Regu" w:cs="NimbusSanL-Regu"/>
                <w:sz w:val="15"/>
                <w:szCs w:val="15"/>
              </w:rPr>
              <w:t>N</w:t>
            </w:r>
            <w:r w:rsidR="00047D9D" w:rsidRPr="007E1020">
              <w:rPr>
                <w:rFonts w:ascii="NimbusSanL-Regu" w:hAnsi="NimbusSanL-Regu" w:cs="NimbusSanL-Regu"/>
                <w:sz w:val="15"/>
                <w:szCs w:val="15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7E1020" w:rsidRDefault="00586664" w:rsidP="007E1020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5"/>
                <w:szCs w:val="15"/>
              </w:rPr>
            </w:pPr>
            <w:r w:rsidRPr="007E1020">
              <w:rPr>
                <w:rFonts w:ascii="NimbusSanL-Regu" w:hAnsi="NimbusSanL-Regu" w:cs="NimbusSanL-Regu"/>
                <w:sz w:val="15"/>
                <w:szCs w:val="15"/>
              </w:rPr>
              <w:t>J</w:t>
            </w:r>
            <w:r w:rsidR="00047D9D" w:rsidRPr="007E1020">
              <w:rPr>
                <w:rFonts w:ascii="NimbusSanL-Regu" w:hAnsi="NimbusSanL-Regu" w:cs="NimbusSanL-Regu"/>
                <w:sz w:val="15"/>
                <w:szCs w:val="15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0692C13" w14:textId="7199A46C" w:rsidR="005F3792" w:rsidRDefault="00F010AC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1 - </w:t>
            </w:r>
            <w:r w:rsidR="005F3792">
              <w:rPr>
                <w:rFonts w:ascii="NimbusSanL-Regu" w:hAnsi="NimbusSanL-Regu" w:cs="NimbusSanL-Regu"/>
                <w:sz w:val="15"/>
                <w:szCs w:val="15"/>
              </w:rPr>
              <w:t>Liczba pobrań/odtworzeń dokumentów zawierających informacje</w:t>
            </w:r>
          </w:p>
          <w:p w14:paraId="0D680A0D" w14:textId="08CCD79B" w:rsidR="009F1DC8" w:rsidRPr="007E1020" w:rsidRDefault="005F3792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sektora publicznego.</w:t>
            </w:r>
          </w:p>
        </w:tc>
        <w:tc>
          <w:tcPr>
            <w:tcW w:w="1278" w:type="dxa"/>
          </w:tcPr>
          <w:p w14:paraId="6B56475F" w14:textId="741DC8B4" w:rsidR="006A60AA" w:rsidRPr="005F3792" w:rsidRDefault="005F3792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5F3792">
              <w:rPr>
                <w:rFonts w:ascii="NimbusSanL-Regu" w:hAnsi="NimbusSanL-Regu" w:cs="NimbusSanL-Regu"/>
                <w:sz w:val="15"/>
                <w:szCs w:val="15"/>
              </w:rPr>
              <w:t>Szt.</w:t>
            </w:r>
          </w:p>
        </w:tc>
        <w:tc>
          <w:tcPr>
            <w:tcW w:w="1842" w:type="dxa"/>
          </w:tcPr>
          <w:p w14:paraId="67FCFF9F" w14:textId="463366C7" w:rsidR="006A60AA" w:rsidRPr="005F3792" w:rsidRDefault="005F3792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1 050 000,00</w:t>
            </w:r>
          </w:p>
        </w:tc>
        <w:tc>
          <w:tcPr>
            <w:tcW w:w="1701" w:type="dxa"/>
          </w:tcPr>
          <w:p w14:paraId="6FE75731" w14:textId="70F82775" w:rsidR="006A60AA" w:rsidRPr="005F3792" w:rsidRDefault="00BF4D4E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09-</w:t>
            </w:r>
            <w:r w:rsidR="005F3792" w:rsidRPr="005F3792">
              <w:rPr>
                <w:rFonts w:ascii="NimbusSanL-Regu" w:hAnsi="NimbusSanL-Regu" w:cs="NimbusSanL-Regu"/>
                <w:sz w:val="15"/>
                <w:szCs w:val="15"/>
              </w:rPr>
              <w:t>2021</w:t>
            </w:r>
          </w:p>
        </w:tc>
        <w:tc>
          <w:tcPr>
            <w:tcW w:w="2268" w:type="dxa"/>
          </w:tcPr>
          <w:p w14:paraId="1908EA3D" w14:textId="056D3AA2" w:rsidR="006A60AA" w:rsidRPr="005F3792" w:rsidRDefault="005F3792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5F3792">
              <w:rPr>
                <w:rFonts w:ascii="NimbusSanL-Regu" w:hAnsi="NimbusSanL-Regu" w:cs="NimbusSanL-Regu"/>
                <w:sz w:val="15"/>
                <w:szCs w:val="15"/>
              </w:rPr>
              <w:t>0</w:t>
            </w:r>
          </w:p>
        </w:tc>
      </w:tr>
      <w:tr w:rsidR="00FD1C54" w:rsidRPr="002B50C0" w14:paraId="1783EE44" w14:textId="77777777" w:rsidTr="00047D9D">
        <w:tc>
          <w:tcPr>
            <w:tcW w:w="2545" w:type="dxa"/>
          </w:tcPr>
          <w:p w14:paraId="3F6D9833" w14:textId="268F7282" w:rsidR="00FD1C54" w:rsidRDefault="00F010AC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2 - </w:t>
            </w:r>
            <w:r w:rsidR="00FD1C54" w:rsidRPr="007E1020">
              <w:rPr>
                <w:rFonts w:ascii="NimbusSanL-Regu" w:hAnsi="NimbusSanL-Regu" w:cs="NimbusSanL-Regu"/>
                <w:sz w:val="15"/>
                <w:szCs w:val="15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6A74A5E1" w14:textId="61B316F2" w:rsidR="00FD1C54" w:rsidRPr="005F3792" w:rsidRDefault="00FD1C54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5F3792">
              <w:rPr>
                <w:rFonts w:ascii="NimbusSanL-Regu" w:hAnsi="NimbusSanL-Regu" w:cs="NimbusSanL-Regu"/>
                <w:sz w:val="15"/>
                <w:szCs w:val="15"/>
              </w:rPr>
              <w:t>Szt.</w:t>
            </w:r>
          </w:p>
        </w:tc>
        <w:tc>
          <w:tcPr>
            <w:tcW w:w="1842" w:type="dxa"/>
          </w:tcPr>
          <w:p w14:paraId="180CA246" w14:textId="7787BDDD" w:rsidR="00FD1C54" w:rsidRDefault="00DC4174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1</w:t>
            </w:r>
          </w:p>
        </w:tc>
        <w:tc>
          <w:tcPr>
            <w:tcW w:w="1701" w:type="dxa"/>
          </w:tcPr>
          <w:p w14:paraId="37BA22BC" w14:textId="79689DF1" w:rsidR="00FD1C54" w:rsidRPr="005F3792" w:rsidRDefault="00BF4D4E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02-</w:t>
            </w:r>
            <w:r w:rsidR="00AF7FE2">
              <w:rPr>
                <w:rFonts w:ascii="NimbusSanL-Regu" w:hAnsi="NimbusSanL-Regu" w:cs="NimbusSanL-Regu"/>
                <w:sz w:val="15"/>
                <w:szCs w:val="15"/>
              </w:rPr>
              <w:t>2021</w:t>
            </w:r>
          </w:p>
        </w:tc>
        <w:tc>
          <w:tcPr>
            <w:tcW w:w="2268" w:type="dxa"/>
          </w:tcPr>
          <w:p w14:paraId="7AD34ED3" w14:textId="13EECAAD" w:rsidR="00FD1C54" w:rsidRPr="005F3792" w:rsidRDefault="007E1020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</w:t>
            </w:r>
          </w:p>
        </w:tc>
      </w:tr>
      <w:tr w:rsidR="00FD1C54" w:rsidRPr="002B50C0" w14:paraId="0F60DCD7" w14:textId="77777777" w:rsidTr="00047D9D">
        <w:tc>
          <w:tcPr>
            <w:tcW w:w="2545" w:type="dxa"/>
          </w:tcPr>
          <w:p w14:paraId="4CF55D79" w14:textId="4B544136" w:rsidR="00FD1C54" w:rsidRPr="007E1020" w:rsidRDefault="00F010AC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3 - </w:t>
            </w:r>
            <w:r w:rsidR="004D5B99" w:rsidRPr="007E1020">
              <w:rPr>
                <w:rFonts w:ascii="NimbusSanL-Regu" w:hAnsi="NimbusSanL-Regu" w:cs="NimbusSanL-Regu"/>
                <w:sz w:val="15"/>
                <w:szCs w:val="15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C0FC6F7" w14:textId="04D596C9" w:rsidR="00FD1C54" w:rsidRPr="005F3792" w:rsidRDefault="007E1020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Szt.</w:t>
            </w:r>
          </w:p>
        </w:tc>
        <w:tc>
          <w:tcPr>
            <w:tcW w:w="1842" w:type="dxa"/>
          </w:tcPr>
          <w:p w14:paraId="0450F409" w14:textId="4A30214F" w:rsidR="00FD1C54" w:rsidRPr="007E1020" w:rsidRDefault="004D5B99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7E1020">
              <w:rPr>
                <w:rFonts w:ascii="NimbusSanL-Regu" w:hAnsi="NimbusSanL-Regu" w:cs="NimbusSanL-Regu"/>
                <w:sz w:val="15"/>
                <w:szCs w:val="15"/>
              </w:rPr>
              <w:t>1,00</w:t>
            </w:r>
          </w:p>
        </w:tc>
        <w:tc>
          <w:tcPr>
            <w:tcW w:w="1701" w:type="dxa"/>
          </w:tcPr>
          <w:p w14:paraId="30AEABF3" w14:textId="742D2D14" w:rsidR="00FD1C54" w:rsidRPr="004017C0" w:rsidRDefault="00BF4D4E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02-</w:t>
            </w:r>
            <w:r w:rsidR="00AF7FE2">
              <w:rPr>
                <w:rFonts w:ascii="NimbusSanL-Regu" w:hAnsi="NimbusSanL-Regu" w:cs="NimbusSanL-Regu"/>
                <w:sz w:val="15"/>
                <w:szCs w:val="15"/>
              </w:rPr>
              <w:t>2021</w:t>
            </w:r>
          </w:p>
        </w:tc>
        <w:tc>
          <w:tcPr>
            <w:tcW w:w="2268" w:type="dxa"/>
          </w:tcPr>
          <w:p w14:paraId="38076956" w14:textId="1274852C" w:rsidR="00FD1C54" w:rsidRDefault="00266338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</w:t>
            </w:r>
          </w:p>
        </w:tc>
      </w:tr>
      <w:tr w:rsidR="007E1020" w:rsidRPr="002B50C0" w14:paraId="1063DB6D" w14:textId="77777777" w:rsidTr="007E1020">
        <w:trPr>
          <w:trHeight w:val="442"/>
        </w:trPr>
        <w:tc>
          <w:tcPr>
            <w:tcW w:w="2545" w:type="dxa"/>
          </w:tcPr>
          <w:p w14:paraId="37F9BF08" w14:textId="7D256630" w:rsidR="007E1020" w:rsidRPr="007E1020" w:rsidRDefault="007E1020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7E1020">
              <w:rPr>
                <w:rFonts w:ascii="NimbusSanL-Regu" w:hAnsi="NimbusSanL-Regu" w:cs="NimbusSanL-Regu"/>
                <w:sz w:val="15"/>
                <w:szCs w:val="15"/>
              </w:rPr>
              <w:t>Liczba udostępnionych on-line dokumentów zawierających informacje sektora publicznego.</w:t>
            </w:r>
          </w:p>
        </w:tc>
        <w:tc>
          <w:tcPr>
            <w:tcW w:w="1278" w:type="dxa"/>
          </w:tcPr>
          <w:p w14:paraId="03227931" w14:textId="00B77A3B" w:rsidR="007E1020" w:rsidRDefault="007E1020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Szt.</w:t>
            </w:r>
          </w:p>
        </w:tc>
        <w:tc>
          <w:tcPr>
            <w:tcW w:w="1842" w:type="dxa"/>
          </w:tcPr>
          <w:p w14:paraId="5C8FF3C3" w14:textId="31EA3692" w:rsidR="007E1020" w:rsidRPr="007E1020" w:rsidRDefault="007E1020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7E1020">
              <w:rPr>
                <w:rFonts w:ascii="NimbusSanL-Regu" w:hAnsi="NimbusSanL-Regu" w:cs="NimbusSanL-Regu"/>
                <w:sz w:val="15"/>
                <w:szCs w:val="15"/>
              </w:rPr>
              <w:t>8.591,00</w:t>
            </w:r>
          </w:p>
        </w:tc>
        <w:tc>
          <w:tcPr>
            <w:tcW w:w="1701" w:type="dxa"/>
          </w:tcPr>
          <w:p w14:paraId="19876B11" w14:textId="753791D2" w:rsidR="007E1020" w:rsidRPr="004017C0" w:rsidRDefault="00BF4D4E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02-</w:t>
            </w:r>
            <w:r w:rsidR="00AF7FE2">
              <w:rPr>
                <w:rFonts w:ascii="NimbusSanL-Regu" w:hAnsi="NimbusSanL-Regu" w:cs="NimbusSanL-Regu"/>
                <w:sz w:val="15"/>
                <w:szCs w:val="15"/>
              </w:rPr>
              <w:t>2021</w:t>
            </w:r>
          </w:p>
        </w:tc>
        <w:tc>
          <w:tcPr>
            <w:tcW w:w="2268" w:type="dxa"/>
          </w:tcPr>
          <w:p w14:paraId="7B2332E1" w14:textId="64481C86" w:rsidR="007E1020" w:rsidRDefault="007E1020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</w:t>
            </w:r>
          </w:p>
        </w:tc>
      </w:tr>
      <w:tr w:rsidR="008A234D" w:rsidRPr="002B50C0" w14:paraId="6B0A3ED6" w14:textId="77777777" w:rsidTr="007E1020">
        <w:trPr>
          <w:trHeight w:val="442"/>
        </w:trPr>
        <w:tc>
          <w:tcPr>
            <w:tcW w:w="2545" w:type="dxa"/>
          </w:tcPr>
          <w:p w14:paraId="0865E45C" w14:textId="77777777" w:rsidR="008A234D" w:rsidRPr="008A234D" w:rsidRDefault="008A234D" w:rsidP="008A234D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8A234D">
              <w:rPr>
                <w:rFonts w:ascii="NimbusSanL-Regu" w:hAnsi="NimbusSanL-Regu" w:cs="NimbusSanL-Regu"/>
                <w:sz w:val="15"/>
                <w:szCs w:val="15"/>
              </w:rPr>
              <w:t>Liczba zdigitalizowanych dokumen-tów zawierających informacje</w:t>
            </w:r>
          </w:p>
          <w:p w14:paraId="2C1A84E2" w14:textId="47F64D73" w:rsidR="008A234D" w:rsidRPr="007E1020" w:rsidRDefault="008A234D" w:rsidP="008A234D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8A234D">
              <w:rPr>
                <w:rFonts w:ascii="NimbusSanL-Regu" w:hAnsi="NimbusSanL-Regu" w:cs="NimbusSanL-Regu"/>
                <w:sz w:val="15"/>
                <w:szCs w:val="15"/>
              </w:rPr>
              <w:t>sektora publicznego - 76 838,00 szt.</w:t>
            </w:r>
          </w:p>
        </w:tc>
        <w:tc>
          <w:tcPr>
            <w:tcW w:w="1278" w:type="dxa"/>
          </w:tcPr>
          <w:p w14:paraId="106896E4" w14:textId="21AD7BDC" w:rsidR="008A234D" w:rsidRDefault="008A234D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8A234D">
              <w:rPr>
                <w:rFonts w:ascii="NimbusSanL-Regu" w:hAnsi="NimbusSanL-Regu" w:cs="NimbusSanL-Regu"/>
                <w:sz w:val="15"/>
                <w:szCs w:val="15"/>
              </w:rPr>
              <w:t>Szt.</w:t>
            </w:r>
          </w:p>
        </w:tc>
        <w:tc>
          <w:tcPr>
            <w:tcW w:w="1842" w:type="dxa"/>
          </w:tcPr>
          <w:p w14:paraId="17715291" w14:textId="54E59A1E" w:rsidR="008A234D" w:rsidRPr="007E1020" w:rsidRDefault="008A234D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8A234D">
              <w:rPr>
                <w:rFonts w:ascii="NimbusSanL-Regu" w:hAnsi="NimbusSanL-Regu" w:cs="NimbusSanL-Regu"/>
                <w:sz w:val="15"/>
                <w:szCs w:val="15"/>
              </w:rPr>
              <w:t>76 838,00</w:t>
            </w:r>
          </w:p>
        </w:tc>
        <w:tc>
          <w:tcPr>
            <w:tcW w:w="1701" w:type="dxa"/>
          </w:tcPr>
          <w:p w14:paraId="71793ED1" w14:textId="56412DA6" w:rsidR="008A234D" w:rsidRPr="004017C0" w:rsidRDefault="00BF4D4E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02-</w:t>
            </w:r>
            <w:r w:rsidR="00AF7FE2">
              <w:rPr>
                <w:rFonts w:ascii="NimbusSanL-Regu" w:hAnsi="NimbusSanL-Regu" w:cs="NimbusSanL-Regu"/>
                <w:sz w:val="15"/>
                <w:szCs w:val="15"/>
              </w:rPr>
              <w:t>2021</w:t>
            </w:r>
          </w:p>
        </w:tc>
        <w:tc>
          <w:tcPr>
            <w:tcW w:w="2268" w:type="dxa"/>
          </w:tcPr>
          <w:p w14:paraId="536BD654" w14:textId="083561A8" w:rsidR="008A234D" w:rsidRDefault="008A234D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</w:t>
            </w:r>
          </w:p>
        </w:tc>
      </w:tr>
      <w:tr w:rsidR="00A2775A" w:rsidRPr="002B50C0" w14:paraId="34FA7257" w14:textId="77777777" w:rsidTr="007E1020">
        <w:trPr>
          <w:trHeight w:val="442"/>
        </w:trPr>
        <w:tc>
          <w:tcPr>
            <w:tcW w:w="2545" w:type="dxa"/>
          </w:tcPr>
          <w:p w14:paraId="10E3D7D2" w14:textId="3493F727" w:rsidR="00A2775A" w:rsidRPr="008A234D" w:rsidRDefault="00A2775A" w:rsidP="008A234D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A2775A">
              <w:rPr>
                <w:rFonts w:ascii="NimbusSanL-Regu" w:hAnsi="NimbusSanL-Regu" w:cs="NimbusSanL-Regu"/>
                <w:sz w:val="15"/>
                <w:szCs w:val="15"/>
              </w:rPr>
              <w:t>Liczba utworzonych API</w:t>
            </w:r>
          </w:p>
        </w:tc>
        <w:tc>
          <w:tcPr>
            <w:tcW w:w="1278" w:type="dxa"/>
          </w:tcPr>
          <w:p w14:paraId="0FDB3EFA" w14:textId="2498623F" w:rsidR="00A2775A" w:rsidRPr="008A234D" w:rsidRDefault="00A2775A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A2775A">
              <w:rPr>
                <w:rFonts w:ascii="NimbusSanL-Regu" w:hAnsi="NimbusSanL-Regu" w:cs="NimbusSanL-Regu"/>
                <w:sz w:val="15"/>
                <w:szCs w:val="15"/>
              </w:rPr>
              <w:t>Szt.</w:t>
            </w:r>
          </w:p>
        </w:tc>
        <w:tc>
          <w:tcPr>
            <w:tcW w:w="1842" w:type="dxa"/>
          </w:tcPr>
          <w:p w14:paraId="690BAC53" w14:textId="52A74888" w:rsidR="00A2775A" w:rsidRPr="008A234D" w:rsidRDefault="008C4305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5</w:t>
            </w:r>
          </w:p>
        </w:tc>
        <w:tc>
          <w:tcPr>
            <w:tcW w:w="1701" w:type="dxa"/>
          </w:tcPr>
          <w:p w14:paraId="7FDECC22" w14:textId="4BC83A68" w:rsidR="00A2775A" w:rsidRPr="008A234D" w:rsidRDefault="00BF4D4E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02-</w:t>
            </w:r>
            <w:r w:rsidR="00AF7FE2">
              <w:rPr>
                <w:rFonts w:ascii="NimbusSanL-Regu" w:hAnsi="NimbusSanL-Regu" w:cs="NimbusSanL-Regu"/>
                <w:sz w:val="15"/>
                <w:szCs w:val="15"/>
              </w:rPr>
              <w:t>2021</w:t>
            </w:r>
          </w:p>
        </w:tc>
        <w:tc>
          <w:tcPr>
            <w:tcW w:w="2268" w:type="dxa"/>
          </w:tcPr>
          <w:p w14:paraId="214A2858" w14:textId="18E669FB" w:rsidR="00A2775A" w:rsidRDefault="008C4305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</w:t>
            </w:r>
          </w:p>
        </w:tc>
      </w:tr>
      <w:tr w:rsidR="002A536E" w:rsidRPr="002B50C0" w14:paraId="60F1B99D" w14:textId="77777777" w:rsidTr="007E1020">
        <w:trPr>
          <w:trHeight w:val="442"/>
        </w:trPr>
        <w:tc>
          <w:tcPr>
            <w:tcW w:w="2545" w:type="dxa"/>
          </w:tcPr>
          <w:p w14:paraId="2CC4DF8C" w14:textId="764C89D7" w:rsidR="002A536E" w:rsidRPr="00A2775A" w:rsidRDefault="002A536E" w:rsidP="008A234D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Rozmiar udostępnionych on – line informacji sektora publicznego</w:t>
            </w:r>
          </w:p>
        </w:tc>
        <w:tc>
          <w:tcPr>
            <w:tcW w:w="1278" w:type="dxa"/>
          </w:tcPr>
          <w:p w14:paraId="17C0CF89" w14:textId="7150EEEB" w:rsidR="002A536E" w:rsidRPr="00A2775A" w:rsidRDefault="002A536E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TB</w:t>
            </w:r>
          </w:p>
        </w:tc>
        <w:tc>
          <w:tcPr>
            <w:tcW w:w="1842" w:type="dxa"/>
          </w:tcPr>
          <w:p w14:paraId="5AE66DCB" w14:textId="48EAAA47" w:rsidR="002A536E" w:rsidRDefault="002A536E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2,85</w:t>
            </w:r>
          </w:p>
        </w:tc>
        <w:tc>
          <w:tcPr>
            <w:tcW w:w="1701" w:type="dxa"/>
          </w:tcPr>
          <w:p w14:paraId="550EF955" w14:textId="2A642B78" w:rsidR="002A536E" w:rsidRPr="008C4305" w:rsidRDefault="00BF4D4E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02-</w:t>
            </w:r>
            <w:r w:rsidR="00AF7FE2">
              <w:rPr>
                <w:rFonts w:ascii="NimbusSanL-Regu" w:hAnsi="NimbusSanL-Regu" w:cs="NimbusSanL-Regu"/>
                <w:sz w:val="15"/>
                <w:szCs w:val="15"/>
              </w:rPr>
              <w:t>2021</w:t>
            </w:r>
          </w:p>
        </w:tc>
        <w:tc>
          <w:tcPr>
            <w:tcW w:w="2268" w:type="dxa"/>
          </w:tcPr>
          <w:p w14:paraId="3A8023FF" w14:textId="74344C7C" w:rsidR="002A536E" w:rsidRDefault="002A536E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</w:t>
            </w:r>
          </w:p>
        </w:tc>
      </w:tr>
      <w:tr w:rsidR="002A536E" w:rsidRPr="002B50C0" w14:paraId="44A9BED7" w14:textId="77777777" w:rsidTr="007E1020">
        <w:trPr>
          <w:trHeight w:val="442"/>
        </w:trPr>
        <w:tc>
          <w:tcPr>
            <w:tcW w:w="2545" w:type="dxa"/>
          </w:tcPr>
          <w:p w14:paraId="5E307E9F" w14:textId="731D2B62" w:rsidR="002A536E" w:rsidRDefault="00502F0F" w:rsidP="008A234D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Liczba wygenerowanych kluczy API</w:t>
            </w:r>
          </w:p>
        </w:tc>
        <w:tc>
          <w:tcPr>
            <w:tcW w:w="1278" w:type="dxa"/>
          </w:tcPr>
          <w:p w14:paraId="05768763" w14:textId="4116369A" w:rsidR="002A536E" w:rsidRDefault="00502F0F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Szt.</w:t>
            </w:r>
          </w:p>
        </w:tc>
        <w:tc>
          <w:tcPr>
            <w:tcW w:w="1842" w:type="dxa"/>
          </w:tcPr>
          <w:p w14:paraId="2F348A7A" w14:textId="0C399049" w:rsidR="002A536E" w:rsidRDefault="00502F0F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4</w:t>
            </w:r>
          </w:p>
        </w:tc>
        <w:tc>
          <w:tcPr>
            <w:tcW w:w="1701" w:type="dxa"/>
          </w:tcPr>
          <w:p w14:paraId="0DB135ED" w14:textId="55E42B14" w:rsidR="002A536E" w:rsidRPr="002A536E" w:rsidRDefault="00BF4D4E" w:rsidP="00BF4D4E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09-</w:t>
            </w:r>
            <w:r w:rsidR="00502F0F" w:rsidRPr="00502F0F">
              <w:rPr>
                <w:rFonts w:ascii="NimbusSanL-Regu" w:hAnsi="NimbusSanL-Regu" w:cs="NimbusSanL-Regu"/>
                <w:sz w:val="15"/>
                <w:szCs w:val="15"/>
              </w:rPr>
              <w:t>2020</w:t>
            </w:r>
          </w:p>
        </w:tc>
        <w:tc>
          <w:tcPr>
            <w:tcW w:w="2268" w:type="dxa"/>
          </w:tcPr>
          <w:p w14:paraId="626E8323" w14:textId="309BC794" w:rsidR="002A536E" w:rsidRDefault="00502F0F" w:rsidP="007E102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</w:t>
            </w:r>
          </w:p>
        </w:tc>
      </w:tr>
    </w:tbl>
    <w:p w14:paraId="52A08447" w14:textId="4082720F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p w14:paraId="6241B457" w14:textId="0DB04C18" w:rsidR="00A22504" w:rsidRPr="00A22504" w:rsidRDefault="00A22504" w:rsidP="00A22504">
      <w:pPr>
        <w:spacing w:line="360" w:lineRule="auto"/>
        <w:rPr>
          <w:rFonts w:ascii="NimbusSanL-Regu" w:hAnsi="NimbusSanL-Regu" w:cs="NimbusSanL-Regu"/>
          <w:sz w:val="15"/>
          <w:szCs w:val="15"/>
        </w:rPr>
      </w:pPr>
      <w:r w:rsidRPr="00A22504">
        <w:rPr>
          <w:rFonts w:ascii="NimbusSanL-Regu" w:hAnsi="NimbusSanL-Regu" w:cs="NimbusSanL-Regu"/>
          <w:sz w:val="15"/>
          <w:szCs w:val="15"/>
        </w:rPr>
        <w:t>Nie dotyczy.</w:t>
      </w:r>
    </w:p>
    <w:p w14:paraId="526AAE7B" w14:textId="7EAF7F6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20"/>
        <w:gridCol w:w="1261"/>
        <w:gridCol w:w="1395"/>
        <w:gridCol w:w="4158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43646A3" w14:textId="77777777" w:rsidR="00F649BF" w:rsidRDefault="00F649BF" w:rsidP="00F649BF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F649BF">
              <w:rPr>
                <w:rFonts w:ascii="NimbusSanL-Regu" w:hAnsi="NimbusSanL-Regu" w:cs="NimbusSanL-Regu"/>
                <w:sz w:val="15"/>
                <w:szCs w:val="15"/>
              </w:rPr>
              <w:t xml:space="preserve">Obszar I: Dane z zakresu wybranych aspektów profilaktyki chorób i promocji </w:t>
            </w:r>
            <w:r w:rsidRPr="00F649BF">
              <w:rPr>
                <w:rFonts w:ascii="NimbusSanL-Regu" w:hAnsi="NimbusSanL-Regu" w:cs="NimbusSanL-Regu"/>
                <w:sz w:val="15"/>
                <w:szCs w:val="15"/>
              </w:rPr>
              <w:lastRenderedPageBreak/>
              <w:t>zdrowia realizowanych przez Państwową Inspekcję Sanitarną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>.</w:t>
            </w:r>
          </w:p>
          <w:p w14:paraId="5334FCCA" w14:textId="32D2B6B0" w:rsidR="00F649BF" w:rsidRPr="00F649BF" w:rsidRDefault="00F649BF" w:rsidP="00F649BF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7140BA25" w14:textId="21A1F7C7" w:rsidR="00F649BF" w:rsidRPr="00C61D6C" w:rsidRDefault="00F649BF" w:rsidP="00F649BF">
            <w:pPr>
              <w:jc w:val="both"/>
              <w:rPr>
                <w:rFonts w:ascii="NimbusSanL-Regu" w:hAnsi="NimbusSanL-Regu" w:cs="NimbusSanL-Regu"/>
                <w:sz w:val="15"/>
                <w:szCs w:val="15"/>
                <w:u w:val="single"/>
              </w:rPr>
            </w:pPr>
            <w:r w:rsidRPr="00C61D6C">
              <w:rPr>
                <w:rFonts w:ascii="NimbusSanL-Regu" w:hAnsi="NimbusSanL-Regu" w:cs="NimbusSanL-Regu"/>
                <w:sz w:val="15"/>
                <w:szCs w:val="15"/>
                <w:u w:val="single"/>
              </w:rPr>
              <w:t>Kategorie danych w ramach Obszaru I</w:t>
            </w:r>
            <w:r w:rsidR="00C61D6C">
              <w:rPr>
                <w:rFonts w:ascii="NimbusSanL-Regu" w:hAnsi="NimbusSanL-Regu" w:cs="NimbusSanL-Regu"/>
                <w:sz w:val="15"/>
                <w:szCs w:val="15"/>
                <w:u w:val="single"/>
              </w:rPr>
              <w:t>:</w:t>
            </w:r>
          </w:p>
          <w:p w14:paraId="45F2F493" w14:textId="77777777" w:rsidR="0098391D" w:rsidRPr="00F649BF" w:rsidRDefault="0098391D" w:rsidP="00F649BF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5B3222F6" w14:textId="77777777" w:rsidR="00F649BF" w:rsidRDefault="00F649BF" w:rsidP="00F649BF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F649BF">
              <w:rPr>
                <w:rFonts w:ascii="NimbusSanL-Regu" w:hAnsi="NimbusSanL-Regu" w:cs="NimbusSanL-Regu"/>
                <w:sz w:val="15"/>
                <w:szCs w:val="15"/>
              </w:rPr>
              <w:t xml:space="preserve">I.1 Dane w zakresie higieny dzieci 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br/>
            </w:r>
            <w:r w:rsidRPr="00F649BF">
              <w:rPr>
                <w:rFonts w:ascii="NimbusSanL-Regu" w:hAnsi="NimbusSanL-Regu" w:cs="NimbusSanL-Regu"/>
                <w:sz w:val="15"/>
                <w:szCs w:val="15"/>
              </w:rPr>
              <w:t>i młodzieży,</w:t>
            </w:r>
          </w:p>
          <w:p w14:paraId="58B74797" w14:textId="77777777" w:rsidR="00F649BF" w:rsidRPr="00F649BF" w:rsidRDefault="00F649BF" w:rsidP="00F649BF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46265E90" w14:textId="6495B61F" w:rsidR="00C6751B" w:rsidRPr="00141A92" w:rsidRDefault="00F649BF" w:rsidP="00F649BF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649BF">
              <w:rPr>
                <w:rFonts w:ascii="NimbusSanL-Regu" w:hAnsi="NimbusSanL-Regu" w:cs="NimbusSanL-Regu"/>
                <w:sz w:val="15"/>
                <w:szCs w:val="15"/>
              </w:rPr>
              <w:t>I.2 Dane w zakresie działalności oświat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owo-zdrowotnej i promocji </w:t>
            </w:r>
            <w:r w:rsidRPr="00F649BF">
              <w:rPr>
                <w:rFonts w:ascii="NimbusSanL-Regu" w:hAnsi="NimbusSanL-Regu" w:cs="NimbusSanL-Regu"/>
                <w:sz w:val="15"/>
                <w:szCs w:val="15"/>
              </w:rPr>
              <w:t>zdrowia,</w:t>
            </w:r>
          </w:p>
        </w:tc>
        <w:tc>
          <w:tcPr>
            <w:tcW w:w="1169" w:type="dxa"/>
          </w:tcPr>
          <w:p w14:paraId="1C07ACC9" w14:textId="31D86122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5CAD9716" w:rsidR="00C6751B" w:rsidRPr="00141A92" w:rsidRDefault="00BF4D4E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02-</w:t>
            </w:r>
            <w:r w:rsidR="006D4DF7">
              <w:rPr>
                <w:rFonts w:ascii="NimbusSanL-Regu" w:hAnsi="NimbusSanL-Regu" w:cs="NimbusSanL-Regu"/>
                <w:sz w:val="15"/>
                <w:szCs w:val="15"/>
              </w:rPr>
              <w:t>2021</w:t>
            </w:r>
          </w:p>
        </w:tc>
        <w:tc>
          <w:tcPr>
            <w:tcW w:w="1134" w:type="dxa"/>
          </w:tcPr>
          <w:p w14:paraId="56773D50" w14:textId="55133196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73D7922F" w:rsidR="00C6751B" w:rsidRPr="00141A92" w:rsidRDefault="00BB6842" w:rsidP="00BB68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B6842">
              <w:rPr>
                <w:rFonts w:ascii="NimbusSanL-Regu" w:hAnsi="NimbusSanL-Regu" w:cs="NimbusSanL-Regu"/>
                <w:sz w:val="15"/>
                <w:szCs w:val="15"/>
              </w:rPr>
              <w:t>Nie wprowadzono zmian.</w:t>
            </w:r>
          </w:p>
        </w:tc>
      </w:tr>
      <w:tr w:rsidR="00F649BF" w:rsidRPr="002B50C0" w14:paraId="5D27C185" w14:textId="77777777" w:rsidTr="00C6751B">
        <w:tc>
          <w:tcPr>
            <w:tcW w:w="2937" w:type="dxa"/>
          </w:tcPr>
          <w:p w14:paraId="14EFD40F" w14:textId="2DC66B54" w:rsidR="0098391D" w:rsidRDefault="0098391D" w:rsidP="0098391D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98391D">
              <w:rPr>
                <w:rFonts w:ascii="NimbusSanL-Regu" w:hAnsi="NimbusSanL-Regu" w:cs="NimbusSanL-Regu"/>
                <w:sz w:val="15"/>
                <w:szCs w:val="15"/>
              </w:rPr>
              <w:t>Obszar II: Dane z zakresu programów polityki  zdrowotnej Jednostek Samorządu Terytorialnego</w:t>
            </w:r>
          </w:p>
          <w:p w14:paraId="41E600BF" w14:textId="77777777" w:rsidR="0098391D" w:rsidRPr="0098391D" w:rsidRDefault="0098391D" w:rsidP="0098391D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4FA6F799" w14:textId="45824F5E" w:rsidR="0098391D" w:rsidRPr="00C61D6C" w:rsidRDefault="0098391D" w:rsidP="00C61D6C">
            <w:pPr>
              <w:ind w:right="-90"/>
              <w:jc w:val="both"/>
              <w:rPr>
                <w:rFonts w:ascii="NimbusSanL-Regu" w:hAnsi="NimbusSanL-Regu" w:cs="NimbusSanL-Regu"/>
                <w:b/>
                <w:sz w:val="15"/>
                <w:szCs w:val="15"/>
                <w:u w:val="single"/>
              </w:rPr>
            </w:pPr>
            <w:r w:rsidRPr="00C61D6C">
              <w:rPr>
                <w:rFonts w:ascii="NimbusSanL-Regu" w:hAnsi="NimbusSanL-Regu" w:cs="NimbusSanL-Regu"/>
                <w:sz w:val="15"/>
                <w:szCs w:val="15"/>
                <w:u w:val="single"/>
              </w:rPr>
              <w:t>Kategorie danych w ramach Obszaru II</w:t>
            </w:r>
            <w:r w:rsidR="00C61D6C">
              <w:rPr>
                <w:rFonts w:ascii="NimbusSanL-Regu" w:hAnsi="NimbusSanL-Regu" w:cs="NimbusSanL-Regu"/>
                <w:sz w:val="15"/>
                <w:szCs w:val="15"/>
                <w:u w:val="single"/>
              </w:rPr>
              <w:t>:</w:t>
            </w:r>
          </w:p>
          <w:p w14:paraId="2FB7806C" w14:textId="77777777" w:rsidR="0098391D" w:rsidRPr="0098391D" w:rsidRDefault="0098391D" w:rsidP="0098391D">
            <w:pPr>
              <w:jc w:val="both"/>
              <w:rPr>
                <w:rFonts w:ascii="NimbusSanL-Regu" w:hAnsi="NimbusSanL-Regu" w:cs="NimbusSanL-Regu"/>
                <w:b/>
                <w:sz w:val="15"/>
                <w:szCs w:val="15"/>
              </w:rPr>
            </w:pPr>
          </w:p>
          <w:p w14:paraId="041AD229" w14:textId="368A177C" w:rsidR="00F649BF" w:rsidRPr="00F649BF" w:rsidRDefault="00256AF4" w:rsidP="0098391D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II.</w:t>
            </w:r>
            <w:r w:rsidR="0098391D" w:rsidRPr="0098391D">
              <w:rPr>
                <w:rFonts w:ascii="NimbusSanL-Regu" w:hAnsi="NimbusSanL-Regu" w:cs="NimbusSanL-Regu"/>
                <w:sz w:val="15"/>
                <w:szCs w:val="15"/>
              </w:rPr>
              <w:t>1 Dane w zakresie projektów programów polityki zdrowotnej JST</w:t>
            </w:r>
          </w:p>
        </w:tc>
        <w:tc>
          <w:tcPr>
            <w:tcW w:w="1169" w:type="dxa"/>
          </w:tcPr>
          <w:p w14:paraId="13FD1749" w14:textId="3B5DCB57" w:rsidR="00F649BF" w:rsidRPr="00141A92" w:rsidRDefault="00BF4D4E" w:rsidP="0098391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02-</w:t>
            </w:r>
            <w:r w:rsidR="006D4DF7">
              <w:rPr>
                <w:rFonts w:ascii="NimbusSanL-Regu" w:hAnsi="NimbusSanL-Regu" w:cs="NimbusSanL-Regu"/>
                <w:sz w:val="15"/>
                <w:szCs w:val="15"/>
              </w:rPr>
              <w:t>2021</w:t>
            </w:r>
          </w:p>
        </w:tc>
        <w:tc>
          <w:tcPr>
            <w:tcW w:w="1134" w:type="dxa"/>
          </w:tcPr>
          <w:p w14:paraId="6F72FB52" w14:textId="77777777" w:rsidR="00F649BF" w:rsidRPr="00141A92" w:rsidRDefault="00F649BF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92074A6" w14:textId="4E4AA82A" w:rsidR="00F649BF" w:rsidRPr="00BB6842" w:rsidRDefault="0098391D" w:rsidP="00BB6842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5"/>
                <w:szCs w:val="15"/>
              </w:rPr>
            </w:pPr>
            <w:r w:rsidRPr="0098391D">
              <w:rPr>
                <w:rFonts w:ascii="NimbusSanL-Regu" w:hAnsi="NimbusSanL-Regu" w:cs="NimbusSanL-Regu"/>
                <w:sz w:val="15"/>
                <w:szCs w:val="15"/>
              </w:rPr>
              <w:t>Nie wprowadzono zmian.</w:t>
            </w:r>
          </w:p>
        </w:tc>
      </w:tr>
      <w:tr w:rsidR="00256AF4" w:rsidRPr="002B50C0" w14:paraId="611BEF62" w14:textId="77777777" w:rsidTr="00C6751B">
        <w:tc>
          <w:tcPr>
            <w:tcW w:w="2937" w:type="dxa"/>
          </w:tcPr>
          <w:p w14:paraId="54DAD041" w14:textId="77777777" w:rsidR="00F07D0F" w:rsidRDefault="00F07D0F" w:rsidP="00F07D0F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F07D0F">
              <w:rPr>
                <w:rFonts w:ascii="NimbusSanL-Regu" w:hAnsi="NimbusSanL-Regu" w:cs="NimbusSanL-Regu"/>
                <w:sz w:val="15"/>
                <w:szCs w:val="15"/>
              </w:rPr>
              <w:t>Obszar III: Dane z zakresu Narodowego Programu Zdrowia</w:t>
            </w:r>
          </w:p>
          <w:p w14:paraId="314EB185" w14:textId="77777777" w:rsidR="00F07D0F" w:rsidRPr="00F07D0F" w:rsidRDefault="00F07D0F" w:rsidP="00F07D0F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697432B0" w14:textId="4D058204" w:rsidR="00F07D0F" w:rsidRPr="00C61D6C" w:rsidRDefault="00F07D0F" w:rsidP="00F07D0F">
            <w:pPr>
              <w:ind w:right="-97"/>
              <w:jc w:val="both"/>
              <w:rPr>
                <w:rFonts w:ascii="NimbusSanL-Regu" w:hAnsi="NimbusSanL-Regu" w:cs="NimbusSanL-Regu"/>
                <w:sz w:val="15"/>
                <w:szCs w:val="15"/>
                <w:u w:val="single"/>
              </w:rPr>
            </w:pPr>
            <w:r w:rsidRPr="00C61D6C">
              <w:rPr>
                <w:rFonts w:ascii="NimbusSanL-Regu" w:hAnsi="NimbusSanL-Regu" w:cs="NimbusSanL-Regu"/>
                <w:sz w:val="15"/>
                <w:szCs w:val="15"/>
                <w:u w:val="single"/>
              </w:rPr>
              <w:t>Kategorie danych w ramach Obszaru III</w:t>
            </w:r>
            <w:r w:rsidR="00C61D6C" w:rsidRPr="00C61D6C">
              <w:rPr>
                <w:rFonts w:ascii="NimbusSanL-Regu" w:hAnsi="NimbusSanL-Regu" w:cs="NimbusSanL-Regu"/>
                <w:sz w:val="15"/>
                <w:szCs w:val="15"/>
                <w:u w:val="single"/>
              </w:rPr>
              <w:t>:</w:t>
            </w:r>
          </w:p>
          <w:p w14:paraId="32FD0C8A" w14:textId="77777777" w:rsidR="00F07D0F" w:rsidRPr="00F07D0F" w:rsidRDefault="00F07D0F" w:rsidP="00F07D0F">
            <w:pPr>
              <w:ind w:right="-97"/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680601C5" w14:textId="29C98B6A" w:rsidR="00256AF4" w:rsidRPr="0098391D" w:rsidRDefault="00F07D0F" w:rsidP="00F07D0F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F07D0F">
              <w:rPr>
                <w:rFonts w:ascii="NimbusSanL-Regu" w:hAnsi="NimbusSanL-Regu" w:cs="NimbusSanL-Regu"/>
                <w:sz w:val="15"/>
                <w:szCs w:val="15"/>
              </w:rPr>
              <w:t>III.1 Dane w zakresie Narodowego Programu Zdrowia od roku 2017</w:t>
            </w:r>
          </w:p>
        </w:tc>
        <w:tc>
          <w:tcPr>
            <w:tcW w:w="1169" w:type="dxa"/>
          </w:tcPr>
          <w:p w14:paraId="497ED62E" w14:textId="11D6E1EA" w:rsidR="00256AF4" w:rsidRPr="0098391D" w:rsidRDefault="00BF4D4E" w:rsidP="0098391D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02-</w:t>
            </w:r>
            <w:r w:rsidR="006D4DF7">
              <w:rPr>
                <w:rFonts w:ascii="NimbusSanL-Regu" w:hAnsi="NimbusSanL-Regu" w:cs="NimbusSanL-Regu"/>
                <w:sz w:val="15"/>
                <w:szCs w:val="15"/>
              </w:rPr>
              <w:t>2021</w:t>
            </w:r>
          </w:p>
        </w:tc>
        <w:tc>
          <w:tcPr>
            <w:tcW w:w="1134" w:type="dxa"/>
          </w:tcPr>
          <w:p w14:paraId="21EB86F8" w14:textId="77777777" w:rsidR="00256AF4" w:rsidRPr="00141A92" w:rsidRDefault="00256AF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63A58CEB" w14:textId="7FCE28C4" w:rsidR="00256AF4" w:rsidRPr="0098391D" w:rsidRDefault="00F07D0F" w:rsidP="00BB6842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5"/>
                <w:szCs w:val="15"/>
              </w:rPr>
            </w:pPr>
            <w:r w:rsidRPr="00F07D0F">
              <w:rPr>
                <w:rFonts w:ascii="NimbusSanL-Regu" w:hAnsi="NimbusSanL-Regu" w:cs="NimbusSanL-Regu"/>
                <w:sz w:val="15"/>
                <w:szCs w:val="15"/>
              </w:rPr>
              <w:t>Nie wprowadzono zmian.</w:t>
            </w:r>
          </w:p>
        </w:tc>
      </w:tr>
      <w:tr w:rsidR="00474AF0" w:rsidRPr="002B50C0" w14:paraId="4F1B2B35" w14:textId="77777777" w:rsidTr="00C6751B">
        <w:tc>
          <w:tcPr>
            <w:tcW w:w="2937" w:type="dxa"/>
          </w:tcPr>
          <w:p w14:paraId="3D0C66C1" w14:textId="77777777" w:rsidR="00C61D6C" w:rsidRDefault="00C61D6C" w:rsidP="00C61D6C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C61D6C">
              <w:rPr>
                <w:rFonts w:ascii="NimbusSanL-Regu" w:hAnsi="NimbusSanL-Regu" w:cs="NimbusSanL-Regu"/>
                <w:sz w:val="15"/>
                <w:szCs w:val="15"/>
              </w:rPr>
              <w:t>Obszar IV: Dane dotyczące sytuacji zdrowotnej ludności Polski</w:t>
            </w:r>
          </w:p>
          <w:p w14:paraId="7684039F" w14:textId="77777777" w:rsidR="00C61D6C" w:rsidRPr="00C61D6C" w:rsidRDefault="00C61D6C" w:rsidP="00C61D6C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1FCECD83" w14:textId="6759BF93" w:rsidR="00C61D6C" w:rsidRPr="00C61D6C" w:rsidRDefault="00C61D6C" w:rsidP="00C61D6C">
            <w:pPr>
              <w:ind w:right="-90"/>
              <w:jc w:val="both"/>
              <w:rPr>
                <w:rFonts w:ascii="NimbusSanL-Regu" w:hAnsi="NimbusSanL-Regu" w:cs="NimbusSanL-Regu"/>
                <w:sz w:val="15"/>
                <w:szCs w:val="15"/>
                <w:u w:val="single"/>
              </w:rPr>
            </w:pPr>
            <w:r w:rsidRPr="00C61D6C">
              <w:rPr>
                <w:rFonts w:ascii="NimbusSanL-Regu" w:hAnsi="NimbusSanL-Regu" w:cs="NimbusSanL-Regu"/>
                <w:sz w:val="15"/>
                <w:szCs w:val="15"/>
                <w:u w:val="single"/>
              </w:rPr>
              <w:t>Kategorie danych w ramach Obszaru IV</w:t>
            </w:r>
            <w:r>
              <w:rPr>
                <w:rFonts w:ascii="NimbusSanL-Regu" w:hAnsi="NimbusSanL-Regu" w:cs="NimbusSanL-Regu"/>
                <w:sz w:val="15"/>
                <w:szCs w:val="15"/>
                <w:u w:val="single"/>
              </w:rPr>
              <w:t>:</w:t>
            </w:r>
          </w:p>
          <w:p w14:paraId="2B1FB03A" w14:textId="77777777" w:rsidR="00C61D6C" w:rsidRPr="00C61D6C" w:rsidRDefault="00C61D6C" w:rsidP="00C61D6C">
            <w:pPr>
              <w:ind w:right="-90"/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5BAED46F" w14:textId="77777777" w:rsidR="00C61D6C" w:rsidRDefault="00C61D6C" w:rsidP="00C61D6C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C61D6C">
              <w:rPr>
                <w:rFonts w:ascii="NimbusSanL-Regu" w:hAnsi="NimbusSanL-Regu" w:cs="NimbusSanL-Regu"/>
                <w:sz w:val="15"/>
                <w:szCs w:val="15"/>
              </w:rPr>
              <w:t>IV.1 Dane w zakresie umieralności</w:t>
            </w:r>
          </w:p>
          <w:p w14:paraId="79B862EE" w14:textId="77777777" w:rsidR="00C61D6C" w:rsidRPr="00C61D6C" w:rsidRDefault="00C61D6C" w:rsidP="00C61D6C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5D1888DA" w14:textId="77777777" w:rsidR="00C61D6C" w:rsidRDefault="00C61D6C" w:rsidP="00C61D6C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C61D6C">
              <w:rPr>
                <w:rFonts w:ascii="NimbusSanL-Regu" w:hAnsi="NimbusSanL-Regu" w:cs="NimbusSanL-Regu"/>
                <w:sz w:val="15"/>
                <w:szCs w:val="15"/>
              </w:rPr>
              <w:t xml:space="preserve">IV.2 Dane w zakresie chorobowości hospitalizowanej </w:t>
            </w:r>
          </w:p>
          <w:p w14:paraId="31B837B4" w14:textId="77777777" w:rsidR="00C61D6C" w:rsidRPr="00C61D6C" w:rsidRDefault="00C61D6C" w:rsidP="00C61D6C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11470DEE" w14:textId="77777777" w:rsidR="00C61D6C" w:rsidRDefault="00C61D6C" w:rsidP="00C61D6C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C61D6C">
              <w:rPr>
                <w:rFonts w:ascii="NimbusSanL-Regu" w:hAnsi="NimbusSanL-Regu" w:cs="NimbusSanL-Regu"/>
                <w:sz w:val="15"/>
                <w:szCs w:val="15"/>
              </w:rPr>
              <w:t xml:space="preserve">IV.3 Dane w zakresie indeksu deprywacji i jego elementów składowych </w:t>
            </w:r>
          </w:p>
          <w:p w14:paraId="033DB5F5" w14:textId="77777777" w:rsidR="00C61D6C" w:rsidRPr="00C61D6C" w:rsidRDefault="00C61D6C" w:rsidP="00C61D6C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6DEE2B2A" w14:textId="77777777" w:rsidR="00C61D6C" w:rsidRDefault="00C61D6C" w:rsidP="00C61D6C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C61D6C">
              <w:rPr>
                <w:rFonts w:ascii="NimbusSanL-Regu" w:hAnsi="NimbusSanL-Regu" w:cs="NimbusSanL-Regu"/>
                <w:sz w:val="15"/>
                <w:szCs w:val="15"/>
              </w:rPr>
              <w:t>IV.4 Dane w zakresie struktury statusów społecznych osób ubezpieczonych</w:t>
            </w:r>
          </w:p>
          <w:p w14:paraId="717A2901" w14:textId="77777777" w:rsidR="00C61D6C" w:rsidRPr="00C61D6C" w:rsidRDefault="00C61D6C" w:rsidP="00C61D6C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1B6CB2E5" w14:textId="64FAE3F0" w:rsidR="00474AF0" w:rsidRPr="00F07D0F" w:rsidRDefault="00C61D6C" w:rsidP="00C61D6C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C61D6C">
              <w:rPr>
                <w:rFonts w:ascii="NimbusSanL-Regu" w:hAnsi="NimbusSanL-Regu" w:cs="NimbusSanL-Regu"/>
                <w:sz w:val="15"/>
                <w:szCs w:val="15"/>
              </w:rPr>
              <w:t>IV.5 Dane w zakresie demografii</w:t>
            </w:r>
          </w:p>
        </w:tc>
        <w:tc>
          <w:tcPr>
            <w:tcW w:w="1169" w:type="dxa"/>
          </w:tcPr>
          <w:p w14:paraId="3417CB97" w14:textId="163D310B" w:rsidR="00474AF0" w:rsidRPr="00F07D0F" w:rsidRDefault="00BF4D4E" w:rsidP="0098391D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02-</w:t>
            </w:r>
            <w:r w:rsidR="006D4DF7">
              <w:rPr>
                <w:rFonts w:ascii="NimbusSanL-Regu" w:hAnsi="NimbusSanL-Regu" w:cs="NimbusSanL-Regu"/>
                <w:sz w:val="15"/>
                <w:szCs w:val="15"/>
              </w:rPr>
              <w:t>2021</w:t>
            </w:r>
          </w:p>
        </w:tc>
        <w:tc>
          <w:tcPr>
            <w:tcW w:w="1134" w:type="dxa"/>
          </w:tcPr>
          <w:p w14:paraId="0FEA35E0" w14:textId="77777777" w:rsidR="00474AF0" w:rsidRPr="00141A92" w:rsidRDefault="00474AF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72199EF" w14:textId="7584A281" w:rsidR="00474AF0" w:rsidRPr="00F07D0F" w:rsidRDefault="00C61D6C" w:rsidP="00BB6842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5"/>
                <w:szCs w:val="15"/>
              </w:rPr>
            </w:pPr>
            <w:r w:rsidRPr="00C61D6C">
              <w:rPr>
                <w:rFonts w:ascii="NimbusSanL-Regu" w:hAnsi="NimbusSanL-Regu" w:cs="NimbusSanL-Regu"/>
                <w:sz w:val="15"/>
                <w:szCs w:val="15"/>
              </w:rPr>
              <w:t>Nie wprowadzono zmian.</w:t>
            </w:r>
          </w:p>
        </w:tc>
      </w:tr>
    </w:tbl>
    <w:p w14:paraId="2598878D" w14:textId="2DB77C2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7996" w:rsidRPr="002B50C0" w14:paraId="50A66C72" w14:textId="77777777" w:rsidTr="00300DB4">
        <w:trPr>
          <w:trHeight w:val="1224"/>
        </w:trPr>
        <w:tc>
          <w:tcPr>
            <w:tcW w:w="2547" w:type="dxa"/>
          </w:tcPr>
          <w:p w14:paraId="20B36869" w14:textId="03B83E29" w:rsidR="00C17996" w:rsidRPr="00FA15A2" w:rsidRDefault="00C17996" w:rsidP="00FA15A2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FA15A2">
              <w:rPr>
                <w:rFonts w:ascii="NimbusSanL-Regu" w:hAnsi="NimbusSanL-Regu" w:cs="NimbusSanL-Regu"/>
                <w:sz w:val="15"/>
                <w:szCs w:val="15"/>
              </w:rPr>
              <w:t>Otwarte API do udostępniania danych</w:t>
            </w:r>
          </w:p>
        </w:tc>
        <w:tc>
          <w:tcPr>
            <w:tcW w:w="1701" w:type="dxa"/>
          </w:tcPr>
          <w:p w14:paraId="236895AB" w14:textId="5AFA2504" w:rsidR="00C17996" w:rsidRPr="00141A92" w:rsidRDefault="006D4DF7" w:rsidP="00F06B92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02.2021</w:t>
            </w:r>
            <w:r w:rsidR="00C17996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  <w:p w14:paraId="1DB94B1B" w14:textId="4C0AAFC8" w:rsidR="00C17996" w:rsidRPr="00141A92" w:rsidRDefault="00C17996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752BB67" w14:textId="1975F219" w:rsidR="00C17996" w:rsidRPr="00141A92" w:rsidRDefault="00C17996" w:rsidP="00F06B92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82FECF" w14:textId="02CB9654" w:rsidR="00C17996" w:rsidRPr="00141A92" w:rsidRDefault="00C17996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vMerge w:val="restart"/>
          </w:tcPr>
          <w:p w14:paraId="33C87EEF" w14:textId="77777777" w:rsidR="00C17996" w:rsidRDefault="00C17996" w:rsidP="00C17996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</w:p>
          <w:p w14:paraId="13081AA5" w14:textId="77777777" w:rsidR="00C17996" w:rsidRPr="00C17996" w:rsidRDefault="00C17996" w:rsidP="00C17996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• </w:t>
            </w:r>
            <w:r w:rsidRPr="00C17996">
              <w:rPr>
                <w:rFonts w:ascii="NimbusSanL-Regu" w:hAnsi="NimbusSanL-Regu" w:cs="NimbusSanL-Regu"/>
                <w:sz w:val="15"/>
                <w:szCs w:val="15"/>
              </w:rPr>
              <w:t>Wykorzystanie zasobów sprzętowych, usług, systemów, platform lub rep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>ozy-toriów innych podmiotów - w</w:t>
            </w:r>
            <w:r w:rsidRPr="004553F9">
              <w:rPr>
                <w:rFonts w:ascii="NimbusSanL-Regu" w:hAnsi="NimbusSanL-Regu" w:cs="NimbusSanL-Regu"/>
                <w:sz w:val="15"/>
                <w:szCs w:val="15"/>
              </w:rPr>
              <w:t xml:space="preserve"> celu umożliwienia publikacji danych gromadzonych i przetwarzanych w projektowanym systemie również w inn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>ych stronach internetowych niż s</w:t>
            </w:r>
            <w:r w:rsidRPr="004553F9">
              <w:rPr>
                <w:rFonts w:ascii="NimbusSanL-Regu" w:hAnsi="NimbusSanL-Regu" w:cs="NimbusSanL-Regu"/>
                <w:sz w:val="15"/>
                <w:szCs w:val="15"/>
              </w:rPr>
              <w:t xml:space="preserve">trona własna planowanego systemu. Na przykład na stronach WWW należących do: 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_NIZP-PZH, AOTMiT, JST, GIS, Stacji WSSE, Stacji PSSE </w:t>
            </w:r>
            <w:r w:rsidRPr="004553F9">
              <w:rPr>
                <w:rFonts w:ascii="NimbusSanL-Regu" w:hAnsi="NimbusSanL-Regu" w:cs="NimbusSanL-Regu"/>
                <w:sz w:val="15"/>
                <w:szCs w:val="15"/>
              </w:rPr>
              <w:t>oraz innych organizacji tym zainteresowanych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>. Z</w:t>
            </w:r>
            <w:r w:rsidRPr="004553F9">
              <w:rPr>
                <w:rFonts w:ascii="NimbusSanL-Regu" w:hAnsi="NimbusSanL-Regu" w:cs="NimbusSanL-Regu"/>
                <w:sz w:val="15"/>
                <w:szCs w:val="15"/>
              </w:rPr>
              <w:t>ostanie przygotowana funkcjonalność umożliwiająca osadzanie raportów lub danych na innych stronach internetowych w taki sposób aby dane były odświeżane gdy ulegną aktualizacji. Funkcjonalność ta zostanie opracowana wraz z prostą instrukcją dla zewnętrznych użytkowników, pozwalającą na prawidłowe osadzenie obiektu publikującego dane na zewnętrznych stronach internetowych. Oczekiwanym skutkiem takiego podejścia będzie większe upowszechnienie informacji pozyskiwanych i opracowywanych przez NIZP-PZH związanych z profilakty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>ką i zagadnieniami zdrowotnymi</w:t>
            </w:r>
          </w:p>
          <w:p w14:paraId="43CDFE6D" w14:textId="38F2D8E6" w:rsidR="00C17996" w:rsidRPr="00C17996" w:rsidRDefault="00C17996" w:rsidP="00C17996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17996" w:rsidRPr="002B50C0" w14:paraId="0CF76DE5" w14:textId="77777777" w:rsidTr="00300DB4">
        <w:trPr>
          <w:trHeight w:val="1555"/>
        </w:trPr>
        <w:tc>
          <w:tcPr>
            <w:tcW w:w="2547" w:type="dxa"/>
          </w:tcPr>
          <w:p w14:paraId="3519E644" w14:textId="4FC2B9A2" w:rsidR="00C17996" w:rsidRPr="00FA15A2" w:rsidRDefault="00C17996" w:rsidP="00FA15A2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FA15A2">
              <w:rPr>
                <w:rFonts w:ascii="NimbusSanL-Regu" w:hAnsi="NimbusSanL-Regu" w:cs="NimbusSanL-Regu"/>
                <w:sz w:val="15"/>
                <w:szCs w:val="15"/>
              </w:rPr>
              <w:t>API do importowania danych zewnętrznych</w:t>
            </w:r>
          </w:p>
        </w:tc>
        <w:tc>
          <w:tcPr>
            <w:tcW w:w="1701" w:type="dxa"/>
          </w:tcPr>
          <w:p w14:paraId="3DA39279" w14:textId="18F581F1" w:rsidR="00C17996" w:rsidRPr="004017C0" w:rsidRDefault="006D4DF7" w:rsidP="00F06B92">
            <w:pPr>
              <w:ind w:left="44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02.2021</w:t>
            </w:r>
          </w:p>
        </w:tc>
        <w:tc>
          <w:tcPr>
            <w:tcW w:w="1843" w:type="dxa"/>
          </w:tcPr>
          <w:p w14:paraId="473708A5" w14:textId="77777777" w:rsidR="00C17996" w:rsidRPr="00141A92" w:rsidRDefault="00C17996" w:rsidP="00F06B92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  <w:vMerge/>
          </w:tcPr>
          <w:p w14:paraId="25536FDE" w14:textId="2B2DB1BB" w:rsidR="00C17996" w:rsidRPr="00141A92" w:rsidRDefault="00C17996" w:rsidP="00C17996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00DB4" w:rsidRPr="002B50C0" w14:paraId="149C0772" w14:textId="77777777" w:rsidTr="00300DB4">
        <w:trPr>
          <w:trHeight w:val="1555"/>
        </w:trPr>
        <w:tc>
          <w:tcPr>
            <w:tcW w:w="2547" w:type="dxa"/>
          </w:tcPr>
          <w:p w14:paraId="782FF20F" w14:textId="58CA55B3" w:rsidR="00300DB4" w:rsidRPr="00FA15A2" w:rsidRDefault="00300DB4" w:rsidP="00191D1D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FA15A2">
              <w:rPr>
                <w:rFonts w:ascii="NimbusSanL-Regu" w:hAnsi="NimbusSanL-Regu" w:cs="NimbusSanL-Regu"/>
                <w:sz w:val="15"/>
                <w:szCs w:val="15"/>
              </w:rPr>
              <w:lastRenderedPageBreak/>
              <w:t>API do komunikacji (pobierania danych) z istniejącym w NIZP-PZH Systemem Chorobowości Szpitalnej</w:t>
            </w:r>
          </w:p>
        </w:tc>
        <w:tc>
          <w:tcPr>
            <w:tcW w:w="1701" w:type="dxa"/>
          </w:tcPr>
          <w:p w14:paraId="62662993" w14:textId="46773524" w:rsidR="00300DB4" w:rsidRPr="00300DB4" w:rsidRDefault="006D4DF7" w:rsidP="00F06B92">
            <w:pPr>
              <w:ind w:left="44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02.2021</w:t>
            </w:r>
          </w:p>
        </w:tc>
        <w:tc>
          <w:tcPr>
            <w:tcW w:w="1843" w:type="dxa"/>
          </w:tcPr>
          <w:p w14:paraId="0455DD9F" w14:textId="77777777" w:rsidR="00300DB4" w:rsidRPr="00141A92" w:rsidRDefault="00300DB4" w:rsidP="00F06B92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01D2BCAF" w14:textId="77777777" w:rsidR="00300DB4" w:rsidRDefault="00FA15A2" w:rsidP="00FA15A2">
            <w:pPr>
              <w:pStyle w:val="Inne0"/>
              <w:shd w:val="clear" w:color="auto" w:fill="auto"/>
              <w:spacing w:after="120" w:line="240" w:lineRule="auto"/>
              <w:rPr>
                <w:color w:val="000000"/>
                <w:lang w:eastAsia="pl-PL" w:bidi="pl-PL"/>
              </w:rPr>
            </w:pPr>
            <w:r>
              <w:rPr>
                <w:color w:val="000000"/>
                <w:lang w:eastAsia="pl-PL" w:bidi="pl-PL"/>
              </w:rPr>
              <w:t>Projekt predefiniowany: „Ograniczenie społecznych nierówności w zdrowiu Realizowany w ramach programu operacyjnego PL 13”</w:t>
            </w:r>
          </w:p>
          <w:p w14:paraId="6D23E1D8" w14:textId="17FE488A" w:rsidR="00FA15A2" w:rsidRPr="00FA15A2" w:rsidRDefault="00FA15A2" w:rsidP="00FA15A2">
            <w:pPr>
              <w:pStyle w:val="Inne0"/>
              <w:spacing w:after="120" w:line="240" w:lineRule="auto"/>
            </w:pPr>
            <w:r>
              <w:t>Baza Wiedzy obejmująca zakres zdrowia publicznego i nierówności w zdrowiu.</w:t>
            </w:r>
          </w:p>
        </w:tc>
      </w:tr>
      <w:tr w:rsidR="00300DB4" w:rsidRPr="002B50C0" w14:paraId="3E044986" w14:textId="77777777" w:rsidTr="00300DB4">
        <w:trPr>
          <w:trHeight w:val="1555"/>
        </w:trPr>
        <w:tc>
          <w:tcPr>
            <w:tcW w:w="2547" w:type="dxa"/>
          </w:tcPr>
          <w:p w14:paraId="74AADA81" w14:textId="5072B222" w:rsidR="00300DB4" w:rsidRPr="00FA15A2" w:rsidRDefault="00300DB4" w:rsidP="00191D1D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FA15A2">
              <w:rPr>
                <w:rFonts w:ascii="NimbusSanL-Regu" w:hAnsi="NimbusSanL-Regu" w:cs="NimbusSanL-Regu"/>
                <w:sz w:val="15"/>
                <w:szCs w:val="15"/>
              </w:rPr>
              <w:t xml:space="preserve">API służący do udostępniania danych dla systemów CSIOZ </w:t>
            </w:r>
            <w:r w:rsidR="00FA15A2">
              <w:rPr>
                <w:rFonts w:ascii="NimbusSanL-Regu" w:hAnsi="NimbusSanL-Regu" w:cs="NimbusSanL-Regu"/>
                <w:sz w:val="15"/>
                <w:szCs w:val="15"/>
              </w:rPr>
              <w:br/>
            </w:r>
            <w:r w:rsidRPr="00FA15A2">
              <w:rPr>
                <w:rFonts w:ascii="NimbusSanL-Regu" w:hAnsi="NimbusSanL-Regu" w:cs="NimbusSanL-Regu"/>
                <w:sz w:val="15"/>
                <w:szCs w:val="15"/>
              </w:rPr>
              <w:t>(w szczególności dla Systemu Statystyki w Ochronie Zdrowia (SSOZ)</w:t>
            </w:r>
          </w:p>
        </w:tc>
        <w:tc>
          <w:tcPr>
            <w:tcW w:w="1701" w:type="dxa"/>
          </w:tcPr>
          <w:p w14:paraId="598D845E" w14:textId="735C638C" w:rsidR="00300DB4" w:rsidRPr="00300DB4" w:rsidRDefault="006D4DF7" w:rsidP="00F06B92">
            <w:pPr>
              <w:ind w:left="44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02.2021</w:t>
            </w:r>
          </w:p>
        </w:tc>
        <w:tc>
          <w:tcPr>
            <w:tcW w:w="1843" w:type="dxa"/>
          </w:tcPr>
          <w:p w14:paraId="251BED95" w14:textId="77777777" w:rsidR="00300DB4" w:rsidRPr="00141A92" w:rsidRDefault="00300DB4" w:rsidP="00F06B92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F5B3F5F" w14:textId="33E9D661" w:rsidR="00A10F31" w:rsidRPr="00A10F31" w:rsidRDefault="00A10F31" w:rsidP="00A10F31">
            <w:pPr>
              <w:pStyle w:val="Inne0"/>
              <w:spacing w:after="120" w:line="240" w:lineRule="auto"/>
            </w:pPr>
            <w:r w:rsidRPr="00A10F31">
              <w:t>Projekt: Dziedzinowe systemy teleinformatyczne systemu informacji w ochronie zdrowia.- CSiOZ</w:t>
            </w:r>
          </w:p>
          <w:p w14:paraId="3B762207" w14:textId="7A531946" w:rsidR="00A10F31" w:rsidRPr="00A10F31" w:rsidRDefault="00A10F31" w:rsidP="00A10F31">
            <w:pPr>
              <w:pStyle w:val="Inne0"/>
              <w:spacing w:after="120" w:line="240" w:lineRule="auto"/>
            </w:pPr>
            <w:r>
              <w:t>D</w:t>
            </w:r>
            <w:r w:rsidRPr="00A10F31">
              <w:t xml:space="preserve">ane gromadzone w systemie ProfiBaza będą również udostępniane celem ich wykorzystania </w:t>
            </w:r>
            <w:r>
              <w:br/>
            </w:r>
            <w:r w:rsidRPr="00A10F31">
              <w:t>w Systemie Statystyki w Ochronie Zdrowia.</w:t>
            </w:r>
          </w:p>
        </w:tc>
      </w:tr>
      <w:tr w:rsidR="00FA15A2" w:rsidRPr="002B50C0" w14:paraId="350C3607" w14:textId="77777777" w:rsidTr="00300DB4">
        <w:trPr>
          <w:trHeight w:val="1555"/>
        </w:trPr>
        <w:tc>
          <w:tcPr>
            <w:tcW w:w="2547" w:type="dxa"/>
          </w:tcPr>
          <w:p w14:paraId="6DC71453" w14:textId="5944B2E3" w:rsidR="00FA15A2" w:rsidRPr="00300DB4" w:rsidRDefault="00FA15A2" w:rsidP="00191D1D">
            <w:pPr>
              <w:rPr>
                <w:color w:val="000000"/>
                <w:lang w:eastAsia="pl-PL" w:bidi="pl-PL"/>
              </w:rPr>
            </w:pPr>
            <w:r w:rsidRPr="00FA15A2">
              <w:rPr>
                <w:rFonts w:ascii="NimbusSanL-Regu" w:hAnsi="NimbusSanL-Regu" w:cs="NimbusSanL-Regu"/>
                <w:sz w:val="15"/>
                <w:szCs w:val="15"/>
              </w:rPr>
              <w:t xml:space="preserve">API służące wymianie danych 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br/>
            </w:r>
            <w:r w:rsidRPr="00FA15A2">
              <w:rPr>
                <w:rFonts w:ascii="NimbusSanL-Regu" w:hAnsi="NimbusSanL-Regu" w:cs="NimbusSanL-Regu"/>
                <w:sz w:val="15"/>
                <w:szCs w:val="15"/>
              </w:rPr>
              <w:t>z systemem EpiBaza (system w trakcie budowy przez NIZP-PZH)</w:t>
            </w:r>
          </w:p>
        </w:tc>
        <w:tc>
          <w:tcPr>
            <w:tcW w:w="1701" w:type="dxa"/>
          </w:tcPr>
          <w:p w14:paraId="0963A5E6" w14:textId="2347CE5F" w:rsidR="00FA15A2" w:rsidRPr="00FA15A2" w:rsidRDefault="006D4DF7" w:rsidP="00F06B92">
            <w:pPr>
              <w:ind w:left="44"/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02.2021</w:t>
            </w:r>
          </w:p>
        </w:tc>
        <w:tc>
          <w:tcPr>
            <w:tcW w:w="1843" w:type="dxa"/>
          </w:tcPr>
          <w:p w14:paraId="4EE011D7" w14:textId="77777777" w:rsidR="00FA15A2" w:rsidRPr="00141A92" w:rsidRDefault="00FA15A2" w:rsidP="00F06B92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715FA960" w14:textId="14683F31" w:rsidR="003D1DA5" w:rsidRPr="003D1DA5" w:rsidRDefault="00C17996" w:rsidP="003D1DA5">
            <w:pPr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P</w:t>
            </w:r>
            <w:r w:rsidR="003D1DA5" w:rsidRPr="003D1DA5">
              <w:rPr>
                <w:rFonts w:ascii="Arial" w:eastAsia="Arial" w:hAnsi="Arial" w:cs="Arial"/>
                <w:sz w:val="15"/>
                <w:szCs w:val="15"/>
              </w:rPr>
              <w:t>rojekt informatyczny będzie powiązany częściowo z będącym obecnie w realizacji projektem EpiBaza prowadzonym również przez NIZP-PZH, planowane jest współdzielenie sprzętu sieciowego przewidzianego do zakupu w ramach tamtego projektu.</w:t>
            </w:r>
          </w:p>
          <w:p w14:paraId="0519422C" w14:textId="77777777" w:rsidR="00FA15A2" w:rsidRPr="00141A92" w:rsidRDefault="00FA15A2" w:rsidP="00B250BB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A8916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48"/>
        <w:gridCol w:w="1691"/>
        <w:gridCol w:w="2294"/>
        <w:gridCol w:w="2365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D6155D">
        <w:tc>
          <w:tcPr>
            <w:tcW w:w="3265" w:type="dxa"/>
          </w:tcPr>
          <w:p w14:paraId="25374FF2" w14:textId="25C7281D" w:rsidR="00322614" w:rsidRPr="003A2AE0" w:rsidRDefault="003A2AE0" w:rsidP="00D6155D">
            <w:pPr>
              <w:spacing w:after="160" w:line="259" w:lineRule="auto"/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3A2AE0">
              <w:rPr>
                <w:rFonts w:ascii="NimbusSanL-Regu" w:hAnsi="NimbusSanL-Regu" w:cs="NimbusSanL-Regu"/>
                <w:sz w:val="15"/>
                <w:szCs w:val="15"/>
              </w:rPr>
              <w:t>Koszty zbudowania systemu przekroczą zakładany budżet</w:t>
            </w:r>
          </w:p>
        </w:tc>
        <w:tc>
          <w:tcPr>
            <w:tcW w:w="1697" w:type="dxa"/>
          </w:tcPr>
          <w:p w14:paraId="5602BE9F" w14:textId="61DADD40" w:rsidR="00322614" w:rsidRPr="003A2AE0" w:rsidRDefault="003A2AE0" w:rsidP="009F09BF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3A2AE0">
              <w:rPr>
                <w:rFonts w:ascii="NimbusSanL-Regu" w:hAnsi="NimbusSanL-Regu" w:cs="NimbusSanL-Regu"/>
                <w:sz w:val="15"/>
                <w:szCs w:val="15"/>
              </w:rPr>
              <w:t>duża</w:t>
            </w:r>
          </w:p>
        </w:tc>
        <w:tc>
          <w:tcPr>
            <w:tcW w:w="2126" w:type="dxa"/>
          </w:tcPr>
          <w:p w14:paraId="593D4C92" w14:textId="16B296DD" w:rsidR="00322614" w:rsidRPr="003A2AE0" w:rsidRDefault="003A2AE0" w:rsidP="00C1106C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3A2AE0">
              <w:rPr>
                <w:rFonts w:ascii="NimbusSanL-Regu" w:hAnsi="NimbusSanL-Regu" w:cs="NimbusSanL-Regu"/>
                <w:sz w:val="15"/>
                <w:szCs w:val="15"/>
              </w:rPr>
              <w:t>znikome</w:t>
            </w:r>
          </w:p>
        </w:tc>
        <w:tc>
          <w:tcPr>
            <w:tcW w:w="2410" w:type="dxa"/>
          </w:tcPr>
          <w:p w14:paraId="4257AD15" w14:textId="5DFBA2F6" w:rsidR="00322614" w:rsidRPr="00141A92" w:rsidRDefault="003A2AE0" w:rsidP="003A2AE0">
            <w:pPr>
              <w:jc w:val="both"/>
              <w:rPr>
                <w:rFonts w:ascii="Arial" w:hAnsi="Arial" w:cs="Arial"/>
                <w:color w:val="0070C0"/>
              </w:rPr>
            </w:pPr>
            <w:r w:rsidRPr="003A2AE0">
              <w:rPr>
                <w:rFonts w:ascii="NimbusSanL-Regu" w:hAnsi="NimbusSanL-Regu" w:cs="NimbusSanL-Regu"/>
                <w:sz w:val="15"/>
                <w:szCs w:val="15"/>
              </w:rPr>
              <w:t xml:space="preserve">Konsultacje dot. kosztów wykonania projektu z doświadczonymi jednostkami we wstępnych etapach przygotowania projektu. Na etapie realizacji zaś kontrola budżetowa, wyznaczenie Kierownika projektu oraz regularne raportowanie postępów i ryzyk projektu, wraz </w:t>
            </w:r>
            <w:r w:rsidR="00802437">
              <w:rPr>
                <w:rFonts w:ascii="NimbusSanL-Regu" w:hAnsi="NimbusSanL-Regu" w:cs="NimbusSanL-Regu"/>
                <w:sz w:val="15"/>
                <w:szCs w:val="15"/>
              </w:rPr>
              <w:br/>
            </w:r>
            <w:r w:rsidRPr="003A2AE0">
              <w:rPr>
                <w:rFonts w:ascii="NimbusSanL-Regu" w:hAnsi="NimbusSanL-Regu" w:cs="NimbusSanL-Regu"/>
                <w:sz w:val="15"/>
                <w:szCs w:val="15"/>
              </w:rPr>
              <w:t xml:space="preserve">z mechanizmem eskalacji </w:t>
            </w:r>
            <w:r w:rsidR="00802437">
              <w:rPr>
                <w:rFonts w:ascii="NimbusSanL-Regu" w:hAnsi="NimbusSanL-Regu" w:cs="NimbusSanL-Regu"/>
                <w:sz w:val="15"/>
                <w:szCs w:val="15"/>
              </w:rPr>
              <w:br/>
            </w:r>
            <w:r w:rsidRPr="003A2AE0">
              <w:rPr>
                <w:rFonts w:ascii="NimbusSanL-Regu" w:hAnsi="NimbusSanL-Regu" w:cs="NimbusSanL-Regu"/>
                <w:sz w:val="15"/>
                <w:szCs w:val="15"/>
              </w:rPr>
              <w:t>i akceptacji kosztów przez Komitet sterujący. W razie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zwiększenia się prawdopod</w:t>
            </w:r>
            <w:r w:rsidRPr="003A2AE0">
              <w:rPr>
                <w:rFonts w:ascii="NimbusSanL-Regu" w:hAnsi="NimbusSanL-Regu" w:cs="NimbusSanL-Regu"/>
                <w:sz w:val="15"/>
                <w:szCs w:val="15"/>
              </w:rPr>
              <w:t>bieństwa ryzyka - konieczność zabezpieczania dodatkowych źródeł finansowania ze środków z budżetu Państwa lub własnych.</w:t>
            </w:r>
          </w:p>
        </w:tc>
      </w:tr>
      <w:tr w:rsidR="009D7C9D" w:rsidRPr="002B50C0" w14:paraId="7452973F" w14:textId="77777777" w:rsidTr="00D6155D">
        <w:tc>
          <w:tcPr>
            <w:tcW w:w="3265" w:type="dxa"/>
          </w:tcPr>
          <w:p w14:paraId="2060D2EB" w14:textId="3C4000A8" w:rsidR="009D7C9D" w:rsidRPr="003A2AE0" w:rsidRDefault="00E53467" w:rsidP="00D6155D">
            <w:pPr>
              <w:spacing w:after="160" w:line="259" w:lineRule="auto"/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314C6E">
              <w:rPr>
                <w:rFonts w:ascii="NimbusSanL-Regu" w:hAnsi="NimbusSanL-Regu" w:cs="NimbusSanL-Regu"/>
                <w:sz w:val="15"/>
                <w:szCs w:val="15"/>
              </w:rPr>
              <w:t>Opóźnienia we wdrożeniu</w:t>
            </w:r>
          </w:p>
        </w:tc>
        <w:tc>
          <w:tcPr>
            <w:tcW w:w="1697" w:type="dxa"/>
          </w:tcPr>
          <w:p w14:paraId="3D884ACD" w14:textId="3F2EA31C" w:rsidR="009D7C9D" w:rsidRPr="003A2AE0" w:rsidRDefault="00E53467" w:rsidP="009F09BF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duża</w:t>
            </w:r>
          </w:p>
        </w:tc>
        <w:tc>
          <w:tcPr>
            <w:tcW w:w="2126" w:type="dxa"/>
          </w:tcPr>
          <w:p w14:paraId="30AA749D" w14:textId="7B343BBD" w:rsidR="009D7C9D" w:rsidRPr="003A2AE0" w:rsidRDefault="00E53467" w:rsidP="00C1106C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>znikome</w:t>
            </w:r>
          </w:p>
        </w:tc>
        <w:tc>
          <w:tcPr>
            <w:tcW w:w="2410" w:type="dxa"/>
          </w:tcPr>
          <w:p w14:paraId="16487238" w14:textId="7BC00F92" w:rsidR="009D7C9D" w:rsidRPr="003A2AE0" w:rsidRDefault="00E53467" w:rsidP="003A2AE0">
            <w:pPr>
              <w:jc w:val="both"/>
              <w:rPr>
                <w:rFonts w:ascii="NimbusSanL-Regu" w:hAnsi="NimbusSanL-Regu" w:cs="NimbusSanL-Regu"/>
                <w:sz w:val="15"/>
                <w:szCs w:val="15"/>
              </w:rPr>
            </w:pPr>
            <w:r w:rsidRPr="00E53467">
              <w:rPr>
                <w:rFonts w:ascii="NimbusSanL-Regu" w:hAnsi="NimbusSanL-Regu" w:cs="NimbusSanL-Regu"/>
                <w:sz w:val="15"/>
                <w:szCs w:val="15"/>
              </w:rPr>
              <w:t>Wdrożenie struktury zarządzania projektem zgodnie z metodyką Prince2. Właściwe opracow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>anie dokumentacji przetar</w:t>
            </w:r>
            <w:r w:rsidR="00802437">
              <w:rPr>
                <w:rFonts w:ascii="NimbusSanL-Regu" w:hAnsi="NimbusSanL-Regu" w:cs="NimbusSanL-Regu"/>
                <w:sz w:val="15"/>
                <w:szCs w:val="15"/>
              </w:rPr>
              <w:t xml:space="preserve">gowych 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w </w:t>
            </w:r>
            <w:r w:rsidRPr="00E53467">
              <w:rPr>
                <w:rFonts w:ascii="NimbusSanL-Regu" w:hAnsi="NimbusSanL-Regu" w:cs="NimbusSanL-Regu"/>
                <w:sz w:val="15"/>
                <w:szCs w:val="15"/>
              </w:rPr>
              <w:t>tym umów z wykonawcamii opisów przedmiotów zamówienia.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3105AF14" w:rsidR="0091332C" w:rsidRPr="007B72CA" w:rsidRDefault="007B72CA" w:rsidP="006E3B36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7B72CA">
              <w:rPr>
                <w:rFonts w:ascii="NimbusSanL-Regu" w:hAnsi="NimbusSanL-Regu" w:cs="NimbusSanL-Regu"/>
                <w:sz w:val="15"/>
                <w:szCs w:val="15"/>
              </w:rPr>
              <w:lastRenderedPageBreak/>
              <w:t>Zbyt niskie zainteresowanie dostępem do ISP z kategorii danych objętych projektem</w:t>
            </w:r>
          </w:p>
        </w:tc>
        <w:tc>
          <w:tcPr>
            <w:tcW w:w="1701" w:type="dxa"/>
            <w:shd w:val="clear" w:color="auto" w:fill="FFFFFF"/>
          </w:tcPr>
          <w:p w14:paraId="2F0B777F" w14:textId="07CF5AB9" w:rsidR="0091332C" w:rsidRPr="007B72CA" w:rsidRDefault="007B72CA" w:rsidP="006E3B36">
            <w:pPr>
              <w:pStyle w:val="Legenda"/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</w:pPr>
            <w:r w:rsidRPr="007B72CA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53CAEC04" w:rsidR="0091332C" w:rsidRPr="007B72CA" w:rsidRDefault="007B72CA" w:rsidP="006E3B36">
            <w:pPr>
              <w:pStyle w:val="Legenda"/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</w:pPr>
            <w:r w:rsidRPr="007B72CA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D2BA0FB" w14:textId="7614CEC2" w:rsidR="0091332C" w:rsidRPr="007B72CA" w:rsidRDefault="007B72CA" w:rsidP="007B72CA">
            <w:pPr>
              <w:pStyle w:val="Legenda"/>
              <w:jc w:val="both"/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</w:pPr>
            <w:r w:rsidRPr="007B72CA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>Bieżąca komunikacja, inf</w:t>
            </w:r>
            <w:r w:rsidR="00802437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 xml:space="preserve">ormacja, promocja i podnoszenie </w:t>
            </w:r>
            <w:r w:rsidRPr="007B72CA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>świadomości jednostek terenowych</w:t>
            </w:r>
            <w:r w:rsidR="00802437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br/>
              <w:t xml:space="preserve"> i centralnych odnośnie </w:t>
            </w:r>
            <w:r w:rsidRPr="007B72CA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>realizowanego projektu. Bieżące badanie potrzeb oraz uwzględnianie wniosków z konsultacji oraz uwag na etapie testów systemu. Ustanowienie struktury i zasa</w:t>
            </w:r>
            <w:r w:rsidR="00CB13D4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>d</w:t>
            </w:r>
            <w:r w:rsidR="00802437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 xml:space="preserve"> zarządzania projektem zgodnie </w:t>
            </w:r>
            <w:r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 xml:space="preserve">z najlepszymi metodologiami (Prince2), w celu stworzenia </w:t>
            </w:r>
            <w:r w:rsidR="00802437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 xml:space="preserve">właściwych ram kontrolnych </w:t>
            </w:r>
            <w:r w:rsidRPr="007B72CA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>i decyzyjnych w trakcie realizacji projektu,</w:t>
            </w:r>
          </w:p>
        </w:tc>
      </w:tr>
      <w:tr w:rsidR="00752E0C" w:rsidRPr="001B6667" w14:paraId="5DD1844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D59BE08" w14:textId="31946767" w:rsidR="00752E0C" w:rsidRPr="007B72CA" w:rsidRDefault="00752E0C" w:rsidP="006E3B36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752E0C">
              <w:rPr>
                <w:rFonts w:ascii="NimbusSanL-Regu" w:hAnsi="NimbusSanL-Regu" w:cs="NimbusSanL-Regu"/>
                <w:sz w:val="15"/>
                <w:szCs w:val="15"/>
              </w:rPr>
              <w:t>Nieoczekiwany wzrost kosztów operacyjnych</w:t>
            </w:r>
          </w:p>
        </w:tc>
        <w:tc>
          <w:tcPr>
            <w:tcW w:w="1701" w:type="dxa"/>
            <w:shd w:val="clear" w:color="auto" w:fill="FFFFFF"/>
          </w:tcPr>
          <w:p w14:paraId="36DBFC31" w14:textId="2C5303EF" w:rsidR="00752E0C" w:rsidRPr="007B72CA" w:rsidRDefault="00752E0C" w:rsidP="006E3B36">
            <w:pPr>
              <w:pStyle w:val="Legenda"/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066C1FD" w14:textId="07CAAC50" w:rsidR="00752E0C" w:rsidRPr="007B72CA" w:rsidRDefault="00752E0C" w:rsidP="006E3B36">
            <w:pPr>
              <w:pStyle w:val="Legenda"/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712CC6BF" w14:textId="1233DF4B" w:rsidR="00752E0C" w:rsidRPr="007B72CA" w:rsidRDefault="00752E0C" w:rsidP="00752E0C">
            <w:pPr>
              <w:pStyle w:val="Legenda"/>
              <w:jc w:val="both"/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</w:pPr>
            <w:r w:rsidRPr="00752E0C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>Bieżące monitorowanie kosztów operacyjnych we wczesnych st</w:t>
            </w:r>
            <w:r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>adiach projektu, by ewentualnie poznać</w:t>
            </w:r>
            <w:r w:rsidRPr="00752E0C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 xml:space="preserve"> sposoby ich ograniczania n</w:t>
            </w:r>
            <w:r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 xml:space="preserve">a etapie budowy infrastruktury </w:t>
            </w:r>
            <w:r w:rsidRPr="00752E0C">
              <w:rPr>
                <w:rFonts w:ascii="NimbusSanL-Regu" w:eastAsiaTheme="minorHAnsi" w:hAnsi="NimbusSanL-Regu" w:cs="NimbusSanL-Regu"/>
                <w:b w:val="0"/>
                <w:bCs w:val="0"/>
                <w:kern w:val="0"/>
                <w:sz w:val="15"/>
                <w:szCs w:val="15"/>
              </w:rPr>
              <w:t>uwzględnienie szacowanych kosztów w planach i budżetach lub zabezpieczenie tej puli z innych źródeł.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64F9505F" w:rsidR="00BB059E" w:rsidRPr="00141A9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6A58F6" w:rsidRPr="006A58F6">
        <w:rPr>
          <w:rFonts w:ascii="NimbusSanL-Regu" w:hAnsi="NimbusSanL-Regu" w:cs="NimbusSanL-Regu"/>
          <w:sz w:val="15"/>
          <w:szCs w:val="15"/>
        </w:rPr>
        <w:t>Piotr Przybylak ( Kierownik Projektu ) / Narodowy Instytut Zdrowia Publicznego – Państwowy Zakład Higieny / tel: 22 54 21 416 / mail: pprzybylak@pzh.gov.pl</w:t>
      </w:r>
    </w:p>
    <w:sectPr w:rsidR="00BB059E" w:rsidRPr="00141A9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E2F42" w14:textId="77777777" w:rsidR="00244D2C" w:rsidRDefault="00244D2C" w:rsidP="00BB2420">
      <w:pPr>
        <w:spacing w:after="0" w:line="240" w:lineRule="auto"/>
      </w:pPr>
      <w:r>
        <w:separator/>
      </w:r>
    </w:p>
  </w:endnote>
  <w:endnote w:type="continuationSeparator" w:id="0">
    <w:p w14:paraId="4BF925A1" w14:textId="77777777" w:rsidR="00244D2C" w:rsidRDefault="00244D2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60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19D04" w14:textId="77777777" w:rsidR="00244D2C" w:rsidRDefault="00244D2C" w:rsidP="00BB2420">
      <w:pPr>
        <w:spacing w:after="0" w:line="240" w:lineRule="auto"/>
      </w:pPr>
      <w:r>
        <w:separator/>
      </w:r>
    </w:p>
  </w:footnote>
  <w:footnote w:type="continuationSeparator" w:id="0">
    <w:p w14:paraId="18D351DE" w14:textId="77777777" w:rsidR="00244D2C" w:rsidRDefault="00244D2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C7550" w:rsidRDefault="00DC7550" w:rsidP="00DC755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C4A"/>
    <w:multiLevelType w:val="hybridMultilevel"/>
    <w:tmpl w:val="BAEEF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90D98"/>
    <w:multiLevelType w:val="multilevel"/>
    <w:tmpl w:val="594ACAD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Times New Roman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sz w:val="28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cs="Times New Roman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cs="Times New Roman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cs="Times New Roman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cs="Times New Roman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cs="Times New Roman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cs="Times New Roman" w:hint="default"/>
      </w:r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83C47"/>
    <w:multiLevelType w:val="hybridMultilevel"/>
    <w:tmpl w:val="1DCA1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1B1C70"/>
    <w:multiLevelType w:val="hybridMultilevel"/>
    <w:tmpl w:val="5A641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663BE"/>
    <w:multiLevelType w:val="multilevel"/>
    <w:tmpl w:val="594ACAD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Times New Roman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sz w:val="28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cs="Times New Roman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cs="Times New Roman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cs="Times New Roman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cs="Times New Roman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cs="Times New Roman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cs="Times New Roman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CC006F"/>
    <w:multiLevelType w:val="hybridMultilevel"/>
    <w:tmpl w:val="90CEAEA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5"/>
  </w:num>
  <w:num w:numId="4">
    <w:abstractNumId w:val="11"/>
  </w:num>
  <w:num w:numId="5">
    <w:abstractNumId w:val="21"/>
  </w:num>
  <w:num w:numId="6">
    <w:abstractNumId w:val="4"/>
  </w:num>
  <w:num w:numId="7">
    <w:abstractNumId w:val="17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6"/>
  </w:num>
  <w:num w:numId="14">
    <w:abstractNumId w:val="2"/>
  </w:num>
  <w:num w:numId="15">
    <w:abstractNumId w:val="23"/>
  </w:num>
  <w:num w:numId="16">
    <w:abstractNumId w:val="8"/>
  </w:num>
  <w:num w:numId="17">
    <w:abstractNumId w:val="14"/>
  </w:num>
  <w:num w:numId="18">
    <w:abstractNumId w:val="12"/>
  </w:num>
  <w:num w:numId="19">
    <w:abstractNumId w:val="9"/>
  </w:num>
  <w:num w:numId="20">
    <w:abstractNumId w:val="24"/>
  </w:num>
  <w:num w:numId="21">
    <w:abstractNumId w:val="13"/>
  </w:num>
  <w:num w:numId="22">
    <w:abstractNumId w:val="10"/>
  </w:num>
  <w:num w:numId="23">
    <w:abstractNumId w:val="20"/>
  </w:num>
  <w:num w:numId="24">
    <w:abstractNumId w:val="22"/>
  </w:num>
  <w:num w:numId="25">
    <w:abstractNumId w:val="1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45F8"/>
    <w:rsid w:val="0003305C"/>
    <w:rsid w:val="00043DD9"/>
    <w:rsid w:val="00044D68"/>
    <w:rsid w:val="00047D9D"/>
    <w:rsid w:val="00070663"/>
    <w:rsid w:val="00084E5B"/>
    <w:rsid w:val="00087231"/>
    <w:rsid w:val="00095944"/>
    <w:rsid w:val="00096F29"/>
    <w:rsid w:val="000A1DFB"/>
    <w:rsid w:val="000A2F32"/>
    <w:rsid w:val="000A3938"/>
    <w:rsid w:val="000B1EF2"/>
    <w:rsid w:val="000B3E49"/>
    <w:rsid w:val="000B4185"/>
    <w:rsid w:val="000E0060"/>
    <w:rsid w:val="000E1828"/>
    <w:rsid w:val="000E4BF8"/>
    <w:rsid w:val="000F20A9"/>
    <w:rsid w:val="000F2DAA"/>
    <w:rsid w:val="000F307B"/>
    <w:rsid w:val="000F30B9"/>
    <w:rsid w:val="0011693F"/>
    <w:rsid w:val="00122388"/>
    <w:rsid w:val="00124C3D"/>
    <w:rsid w:val="00141A92"/>
    <w:rsid w:val="00145E84"/>
    <w:rsid w:val="0015102C"/>
    <w:rsid w:val="00151739"/>
    <w:rsid w:val="00176FBB"/>
    <w:rsid w:val="00181E97"/>
    <w:rsid w:val="00182A08"/>
    <w:rsid w:val="00191D1D"/>
    <w:rsid w:val="001A2EF2"/>
    <w:rsid w:val="001B75D5"/>
    <w:rsid w:val="001C1D6A"/>
    <w:rsid w:val="001C2D74"/>
    <w:rsid w:val="001C7FAC"/>
    <w:rsid w:val="001E0CAC"/>
    <w:rsid w:val="001E16A3"/>
    <w:rsid w:val="001E1DEA"/>
    <w:rsid w:val="001E7199"/>
    <w:rsid w:val="001F1B6E"/>
    <w:rsid w:val="001F24A0"/>
    <w:rsid w:val="001F67EC"/>
    <w:rsid w:val="0020330A"/>
    <w:rsid w:val="002306C1"/>
    <w:rsid w:val="00237279"/>
    <w:rsid w:val="00240D69"/>
    <w:rsid w:val="00241B5E"/>
    <w:rsid w:val="00243FAD"/>
    <w:rsid w:val="00244AEA"/>
    <w:rsid w:val="00244D2C"/>
    <w:rsid w:val="00252087"/>
    <w:rsid w:val="00254212"/>
    <w:rsid w:val="00256AF4"/>
    <w:rsid w:val="00266338"/>
    <w:rsid w:val="00276C00"/>
    <w:rsid w:val="002A3C02"/>
    <w:rsid w:val="002A536E"/>
    <w:rsid w:val="002A5452"/>
    <w:rsid w:val="002B1C2F"/>
    <w:rsid w:val="002B4889"/>
    <w:rsid w:val="002B50C0"/>
    <w:rsid w:val="002B6F21"/>
    <w:rsid w:val="002D3D4A"/>
    <w:rsid w:val="002D7ADA"/>
    <w:rsid w:val="002F347D"/>
    <w:rsid w:val="002F385B"/>
    <w:rsid w:val="00300DB4"/>
    <w:rsid w:val="0030196F"/>
    <w:rsid w:val="00302775"/>
    <w:rsid w:val="00304D04"/>
    <w:rsid w:val="00310D8E"/>
    <w:rsid w:val="00314C6E"/>
    <w:rsid w:val="003221F2"/>
    <w:rsid w:val="00322614"/>
    <w:rsid w:val="00323ED1"/>
    <w:rsid w:val="00334A24"/>
    <w:rsid w:val="003410FE"/>
    <w:rsid w:val="003508E7"/>
    <w:rsid w:val="003521BD"/>
    <w:rsid w:val="003542F1"/>
    <w:rsid w:val="00356A3E"/>
    <w:rsid w:val="00361753"/>
    <w:rsid w:val="003642B8"/>
    <w:rsid w:val="003A2AE0"/>
    <w:rsid w:val="003A4115"/>
    <w:rsid w:val="003B5B7A"/>
    <w:rsid w:val="003C7325"/>
    <w:rsid w:val="003D1DA5"/>
    <w:rsid w:val="003D7DD0"/>
    <w:rsid w:val="003E3144"/>
    <w:rsid w:val="004017C0"/>
    <w:rsid w:val="00405EA4"/>
    <w:rsid w:val="0041034F"/>
    <w:rsid w:val="004105AA"/>
    <w:rsid w:val="004118A3"/>
    <w:rsid w:val="00412840"/>
    <w:rsid w:val="004129ED"/>
    <w:rsid w:val="0042271A"/>
    <w:rsid w:val="00423A26"/>
    <w:rsid w:val="00425046"/>
    <w:rsid w:val="00426156"/>
    <w:rsid w:val="004350B8"/>
    <w:rsid w:val="00444AAB"/>
    <w:rsid w:val="00450089"/>
    <w:rsid w:val="00450E86"/>
    <w:rsid w:val="00454CF6"/>
    <w:rsid w:val="004553F9"/>
    <w:rsid w:val="0046528C"/>
    <w:rsid w:val="00474634"/>
    <w:rsid w:val="00474AF0"/>
    <w:rsid w:val="004A0645"/>
    <w:rsid w:val="004C1D48"/>
    <w:rsid w:val="004C1DC4"/>
    <w:rsid w:val="004D5B99"/>
    <w:rsid w:val="004D65CA"/>
    <w:rsid w:val="004F6E89"/>
    <w:rsid w:val="00502F0F"/>
    <w:rsid w:val="00517F12"/>
    <w:rsid w:val="0052102C"/>
    <w:rsid w:val="00524E6C"/>
    <w:rsid w:val="005332D6"/>
    <w:rsid w:val="00534843"/>
    <w:rsid w:val="00535AF3"/>
    <w:rsid w:val="0054495E"/>
    <w:rsid w:val="00544DFE"/>
    <w:rsid w:val="00560733"/>
    <w:rsid w:val="005734CE"/>
    <w:rsid w:val="0058609D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72D"/>
    <w:rsid w:val="005D6E12"/>
    <w:rsid w:val="005E0ED8"/>
    <w:rsid w:val="005E19B2"/>
    <w:rsid w:val="005E6ABD"/>
    <w:rsid w:val="005F3792"/>
    <w:rsid w:val="005F41FA"/>
    <w:rsid w:val="00600AE4"/>
    <w:rsid w:val="006054AA"/>
    <w:rsid w:val="0061312D"/>
    <w:rsid w:val="0062054D"/>
    <w:rsid w:val="0063337A"/>
    <w:rsid w:val="006334BF"/>
    <w:rsid w:val="00635A54"/>
    <w:rsid w:val="0064141C"/>
    <w:rsid w:val="00661A62"/>
    <w:rsid w:val="006731D9"/>
    <w:rsid w:val="006822BC"/>
    <w:rsid w:val="006A58F6"/>
    <w:rsid w:val="006A60AA"/>
    <w:rsid w:val="006B034F"/>
    <w:rsid w:val="006B5117"/>
    <w:rsid w:val="006D4DF7"/>
    <w:rsid w:val="006E0CFA"/>
    <w:rsid w:val="006E2487"/>
    <w:rsid w:val="006E6205"/>
    <w:rsid w:val="006F4F4E"/>
    <w:rsid w:val="00701800"/>
    <w:rsid w:val="00725708"/>
    <w:rsid w:val="007259EE"/>
    <w:rsid w:val="007266D6"/>
    <w:rsid w:val="0073318D"/>
    <w:rsid w:val="00740A47"/>
    <w:rsid w:val="00746ABD"/>
    <w:rsid w:val="00752E0C"/>
    <w:rsid w:val="0077418F"/>
    <w:rsid w:val="00775C44"/>
    <w:rsid w:val="007834B5"/>
    <w:rsid w:val="007924CE"/>
    <w:rsid w:val="00795AFA"/>
    <w:rsid w:val="007A4742"/>
    <w:rsid w:val="007B0251"/>
    <w:rsid w:val="007B72CA"/>
    <w:rsid w:val="007C2F7E"/>
    <w:rsid w:val="007C6235"/>
    <w:rsid w:val="007D1990"/>
    <w:rsid w:val="007D2C34"/>
    <w:rsid w:val="007D38BD"/>
    <w:rsid w:val="007D3C4B"/>
    <w:rsid w:val="007D3F21"/>
    <w:rsid w:val="007E1020"/>
    <w:rsid w:val="007E341A"/>
    <w:rsid w:val="007F126F"/>
    <w:rsid w:val="00802437"/>
    <w:rsid w:val="00806134"/>
    <w:rsid w:val="008255BE"/>
    <w:rsid w:val="00830B70"/>
    <w:rsid w:val="008341BE"/>
    <w:rsid w:val="00840749"/>
    <w:rsid w:val="008410CB"/>
    <w:rsid w:val="00846D53"/>
    <w:rsid w:val="00861223"/>
    <w:rsid w:val="00867711"/>
    <w:rsid w:val="0087452F"/>
    <w:rsid w:val="008751C9"/>
    <w:rsid w:val="00875528"/>
    <w:rsid w:val="00881E10"/>
    <w:rsid w:val="00884686"/>
    <w:rsid w:val="0089660F"/>
    <w:rsid w:val="008A234D"/>
    <w:rsid w:val="008A332F"/>
    <w:rsid w:val="008A52F6"/>
    <w:rsid w:val="008C4305"/>
    <w:rsid w:val="008C4BCD"/>
    <w:rsid w:val="008C6721"/>
    <w:rsid w:val="008D3826"/>
    <w:rsid w:val="008F2D9B"/>
    <w:rsid w:val="008F5AF2"/>
    <w:rsid w:val="008F67F5"/>
    <w:rsid w:val="00907F6D"/>
    <w:rsid w:val="00911190"/>
    <w:rsid w:val="0091332C"/>
    <w:rsid w:val="009256F2"/>
    <w:rsid w:val="00933BEC"/>
    <w:rsid w:val="00936729"/>
    <w:rsid w:val="00951225"/>
    <w:rsid w:val="0095183B"/>
    <w:rsid w:val="00952126"/>
    <w:rsid w:val="00952617"/>
    <w:rsid w:val="009575F2"/>
    <w:rsid w:val="009663A6"/>
    <w:rsid w:val="00971A40"/>
    <w:rsid w:val="00976434"/>
    <w:rsid w:val="0098391D"/>
    <w:rsid w:val="00992EA3"/>
    <w:rsid w:val="009960BB"/>
    <w:rsid w:val="009967CA"/>
    <w:rsid w:val="009A17FF"/>
    <w:rsid w:val="009A3015"/>
    <w:rsid w:val="009B4423"/>
    <w:rsid w:val="009C6140"/>
    <w:rsid w:val="009D2FA4"/>
    <w:rsid w:val="009D63BA"/>
    <w:rsid w:val="009D7C9D"/>
    <w:rsid w:val="009D7D8A"/>
    <w:rsid w:val="009E4C67"/>
    <w:rsid w:val="009F09BF"/>
    <w:rsid w:val="009F1DC8"/>
    <w:rsid w:val="009F437E"/>
    <w:rsid w:val="00A10F31"/>
    <w:rsid w:val="00A11788"/>
    <w:rsid w:val="00A22504"/>
    <w:rsid w:val="00A2775A"/>
    <w:rsid w:val="00A30847"/>
    <w:rsid w:val="00A36AE2"/>
    <w:rsid w:val="00A43E49"/>
    <w:rsid w:val="00A44EA2"/>
    <w:rsid w:val="00A56D63"/>
    <w:rsid w:val="00A67685"/>
    <w:rsid w:val="00A728AE"/>
    <w:rsid w:val="00A804AE"/>
    <w:rsid w:val="00A82558"/>
    <w:rsid w:val="00A86449"/>
    <w:rsid w:val="00A87C1C"/>
    <w:rsid w:val="00AA4CAB"/>
    <w:rsid w:val="00AA4E32"/>
    <w:rsid w:val="00AA51AD"/>
    <w:rsid w:val="00AB2E01"/>
    <w:rsid w:val="00AC5A59"/>
    <w:rsid w:val="00AC7E26"/>
    <w:rsid w:val="00AD08DC"/>
    <w:rsid w:val="00AD36EC"/>
    <w:rsid w:val="00AD45BB"/>
    <w:rsid w:val="00AE1643"/>
    <w:rsid w:val="00AE3A6C"/>
    <w:rsid w:val="00AE40BE"/>
    <w:rsid w:val="00AF09B8"/>
    <w:rsid w:val="00AF567D"/>
    <w:rsid w:val="00AF7FE2"/>
    <w:rsid w:val="00B17709"/>
    <w:rsid w:val="00B250BB"/>
    <w:rsid w:val="00B41415"/>
    <w:rsid w:val="00B440C3"/>
    <w:rsid w:val="00B50560"/>
    <w:rsid w:val="00B64B3C"/>
    <w:rsid w:val="00B673C6"/>
    <w:rsid w:val="00B74859"/>
    <w:rsid w:val="00B87D3D"/>
    <w:rsid w:val="00B9513A"/>
    <w:rsid w:val="00BA481C"/>
    <w:rsid w:val="00BB059E"/>
    <w:rsid w:val="00BB2420"/>
    <w:rsid w:val="00BB5ACE"/>
    <w:rsid w:val="00BB6842"/>
    <w:rsid w:val="00BC1BD2"/>
    <w:rsid w:val="00BC6BE4"/>
    <w:rsid w:val="00BC7165"/>
    <w:rsid w:val="00BD2FC3"/>
    <w:rsid w:val="00BE47CD"/>
    <w:rsid w:val="00BE5BF9"/>
    <w:rsid w:val="00BE7904"/>
    <w:rsid w:val="00BF4D4E"/>
    <w:rsid w:val="00C1106C"/>
    <w:rsid w:val="00C17996"/>
    <w:rsid w:val="00C23BAB"/>
    <w:rsid w:val="00C26361"/>
    <w:rsid w:val="00C264A7"/>
    <w:rsid w:val="00C302F1"/>
    <w:rsid w:val="00C42AEA"/>
    <w:rsid w:val="00C57985"/>
    <w:rsid w:val="00C61D6C"/>
    <w:rsid w:val="00C641A0"/>
    <w:rsid w:val="00C6751B"/>
    <w:rsid w:val="00C67FCE"/>
    <w:rsid w:val="00C9535E"/>
    <w:rsid w:val="00CA516B"/>
    <w:rsid w:val="00CB13D4"/>
    <w:rsid w:val="00CC7E21"/>
    <w:rsid w:val="00CE74F9"/>
    <w:rsid w:val="00CE7777"/>
    <w:rsid w:val="00CF2E64"/>
    <w:rsid w:val="00D02FE3"/>
    <w:rsid w:val="00D25237"/>
    <w:rsid w:val="00D25CFE"/>
    <w:rsid w:val="00D40136"/>
    <w:rsid w:val="00D4607F"/>
    <w:rsid w:val="00D57025"/>
    <w:rsid w:val="00D57765"/>
    <w:rsid w:val="00D6155D"/>
    <w:rsid w:val="00D77F50"/>
    <w:rsid w:val="00D859F4"/>
    <w:rsid w:val="00D85A52"/>
    <w:rsid w:val="00D86FEC"/>
    <w:rsid w:val="00DA192E"/>
    <w:rsid w:val="00DA34DF"/>
    <w:rsid w:val="00DB69FD"/>
    <w:rsid w:val="00DC0A8A"/>
    <w:rsid w:val="00DC1705"/>
    <w:rsid w:val="00DC39A9"/>
    <w:rsid w:val="00DC4174"/>
    <w:rsid w:val="00DC4C79"/>
    <w:rsid w:val="00DC7550"/>
    <w:rsid w:val="00DE606F"/>
    <w:rsid w:val="00DE6249"/>
    <w:rsid w:val="00DE731D"/>
    <w:rsid w:val="00DF22CD"/>
    <w:rsid w:val="00E0076D"/>
    <w:rsid w:val="00E11B44"/>
    <w:rsid w:val="00E15DEB"/>
    <w:rsid w:val="00E1688D"/>
    <w:rsid w:val="00E203EB"/>
    <w:rsid w:val="00E35401"/>
    <w:rsid w:val="00E375DB"/>
    <w:rsid w:val="00E42938"/>
    <w:rsid w:val="00E44090"/>
    <w:rsid w:val="00E47508"/>
    <w:rsid w:val="00E53467"/>
    <w:rsid w:val="00E55EB0"/>
    <w:rsid w:val="00E57BB7"/>
    <w:rsid w:val="00E61CB0"/>
    <w:rsid w:val="00E71256"/>
    <w:rsid w:val="00E71BCF"/>
    <w:rsid w:val="00E778B7"/>
    <w:rsid w:val="00E81D7C"/>
    <w:rsid w:val="00E83FA4"/>
    <w:rsid w:val="00E86020"/>
    <w:rsid w:val="00EA0B4F"/>
    <w:rsid w:val="00EA5E3D"/>
    <w:rsid w:val="00EC2AFC"/>
    <w:rsid w:val="00EF4AEC"/>
    <w:rsid w:val="00F010AC"/>
    <w:rsid w:val="00F06B92"/>
    <w:rsid w:val="00F07D0F"/>
    <w:rsid w:val="00F138F7"/>
    <w:rsid w:val="00F2008A"/>
    <w:rsid w:val="00F21D9E"/>
    <w:rsid w:val="00F25348"/>
    <w:rsid w:val="00F45506"/>
    <w:rsid w:val="00F60062"/>
    <w:rsid w:val="00F613CC"/>
    <w:rsid w:val="00F6257E"/>
    <w:rsid w:val="00F649BF"/>
    <w:rsid w:val="00F76777"/>
    <w:rsid w:val="00F83F2F"/>
    <w:rsid w:val="00F86555"/>
    <w:rsid w:val="00F95272"/>
    <w:rsid w:val="00FA15A2"/>
    <w:rsid w:val="00FC3B03"/>
    <w:rsid w:val="00FD1C54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Fiszkitekst">
    <w:name w:val="Fiszki tekst"/>
    <w:basedOn w:val="Normalny"/>
    <w:link w:val="FiszkitekstZnak"/>
    <w:uiPriority w:val="99"/>
    <w:rsid w:val="004553F9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FiszkitekstZnak">
    <w:name w:val="Fiszki tekst Znak"/>
    <w:link w:val="Fiszkitekst"/>
    <w:uiPriority w:val="99"/>
    <w:locked/>
    <w:rsid w:val="004553F9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Inne">
    <w:name w:val="Inne_"/>
    <w:basedOn w:val="Domylnaczcionkaakapitu"/>
    <w:link w:val="Inne0"/>
    <w:rsid w:val="00FA15A2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Inne0">
    <w:name w:val="Inne"/>
    <w:basedOn w:val="Normalny"/>
    <w:link w:val="Inne"/>
    <w:rsid w:val="00FA15A2"/>
    <w:pPr>
      <w:widowControl w:val="0"/>
      <w:shd w:val="clear" w:color="auto" w:fill="FFFFFF"/>
      <w:spacing w:line="427" w:lineRule="auto"/>
    </w:pPr>
    <w:rPr>
      <w:rFonts w:ascii="Arial" w:eastAsia="Arial" w:hAnsi="Arial" w:cs="Arial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DCCDB-1775-465F-A05F-E928C518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1291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2018-04-16T12:45:00Z</dcterms:created>
  <dcterms:modified xsi:type="dcterms:W3CDTF">2019-01-22T12:10:00Z</dcterms:modified>
</cp:coreProperties>
</file>